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808080"/>
          <w:bottom w:val="single" w:sz="18" w:space="0" w:color="808080"/>
        </w:tblBorders>
        <w:tblLook w:val="01E0" w:firstRow="1" w:lastRow="1" w:firstColumn="1" w:lastColumn="1" w:noHBand="0" w:noVBand="0"/>
      </w:tblPr>
      <w:tblGrid>
        <w:gridCol w:w="3757"/>
        <w:gridCol w:w="1689"/>
        <w:gridCol w:w="2027"/>
        <w:gridCol w:w="2027"/>
      </w:tblGrid>
      <w:tr w:rsidR="008B39EE" w14:paraId="11C2B152" w14:textId="77777777" w:rsidTr="00A15942">
        <w:tc>
          <w:tcPr>
            <w:tcW w:w="9500" w:type="dxa"/>
            <w:gridSpan w:val="4"/>
            <w:tcBorders>
              <w:top w:val="nil"/>
              <w:bottom w:val="single" w:sz="18" w:space="0" w:color="666699"/>
            </w:tcBorders>
          </w:tcPr>
          <w:p w14:paraId="2192A4A2" w14:textId="77777777" w:rsidR="008B39EE" w:rsidRPr="008B39EE" w:rsidRDefault="00B478CD" w:rsidP="008B39EE">
            <w:pPr>
              <w:pStyle w:val="Title1"/>
            </w:pPr>
            <w:r>
              <w:t>Meeting 21 – Smart Grid Forum Work Stream 6</w:t>
            </w:r>
          </w:p>
        </w:tc>
      </w:tr>
      <w:tr w:rsidR="00F2661F" w14:paraId="52A37614" w14:textId="77777777" w:rsidTr="00A15942">
        <w:tc>
          <w:tcPr>
            <w:tcW w:w="3757" w:type="dxa"/>
            <w:vMerge w:val="restart"/>
            <w:tcBorders>
              <w:top w:val="single" w:sz="18" w:space="0" w:color="666699"/>
              <w:bottom w:val="nil"/>
            </w:tcBorders>
          </w:tcPr>
          <w:p w14:paraId="751961CA" w14:textId="77777777" w:rsidR="00F2661F" w:rsidRDefault="00B478CD" w:rsidP="00BA7019">
            <w:r>
              <w:t>Minutes from the meeting of the Smart Grid Forum Work Stream Six on Tuesday 18 February</w:t>
            </w:r>
          </w:p>
        </w:tc>
        <w:tc>
          <w:tcPr>
            <w:tcW w:w="1689" w:type="dxa"/>
            <w:tcBorders>
              <w:top w:val="single" w:sz="18" w:space="0" w:color="666699"/>
              <w:bottom w:val="nil"/>
            </w:tcBorders>
          </w:tcPr>
          <w:p w14:paraId="69C97BC4" w14:textId="77777777" w:rsidR="00F2661F" w:rsidRPr="00A15942" w:rsidRDefault="00F2661F" w:rsidP="00BA7019">
            <w:pPr>
              <w:rPr>
                <w:sz w:val="16"/>
                <w:szCs w:val="16"/>
              </w:rPr>
            </w:pPr>
            <w:r w:rsidRPr="00A15942">
              <w:rPr>
                <w:sz w:val="16"/>
                <w:szCs w:val="16"/>
              </w:rPr>
              <w:t>From</w:t>
            </w:r>
          </w:p>
        </w:tc>
        <w:tc>
          <w:tcPr>
            <w:tcW w:w="2027" w:type="dxa"/>
            <w:tcBorders>
              <w:top w:val="single" w:sz="18" w:space="0" w:color="666699"/>
              <w:bottom w:val="nil"/>
            </w:tcBorders>
          </w:tcPr>
          <w:p w14:paraId="719DF1EE" w14:textId="77777777" w:rsidR="00F2661F" w:rsidRPr="00A15942" w:rsidRDefault="00B478CD" w:rsidP="000E7F6B">
            <w:pPr>
              <w:rPr>
                <w:sz w:val="16"/>
                <w:szCs w:val="16"/>
              </w:rPr>
            </w:pPr>
            <w:r>
              <w:rPr>
                <w:sz w:val="16"/>
                <w:szCs w:val="16"/>
              </w:rPr>
              <w:t>Ofgem</w:t>
            </w:r>
          </w:p>
        </w:tc>
        <w:tc>
          <w:tcPr>
            <w:tcW w:w="2027" w:type="dxa"/>
            <w:tcBorders>
              <w:top w:val="single" w:sz="18" w:space="0" w:color="666699"/>
              <w:bottom w:val="nil"/>
            </w:tcBorders>
          </w:tcPr>
          <w:p w14:paraId="53572E99" w14:textId="77777777" w:rsidR="00F2661F" w:rsidRPr="00A15942" w:rsidRDefault="00B478CD" w:rsidP="000E7F6B">
            <w:pPr>
              <w:rPr>
                <w:sz w:val="16"/>
                <w:szCs w:val="16"/>
              </w:rPr>
            </w:pPr>
            <w:r>
              <w:rPr>
                <w:sz w:val="16"/>
                <w:szCs w:val="16"/>
              </w:rPr>
              <w:t>20 February</w:t>
            </w:r>
          </w:p>
        </w:tc>
      </w:tr>
      <w:tr w:rsidR="00F2661F" w14:paraId="2EDC78A8" w14:textId="77777777" w:rsidTr="00A15942">
        <w:tc>
          <w:tcPr>
            <w:tcW w:w="3757" w:type="dxa"/>
            <w:vMerge/>
            <w:tcBorders>
              <w:top w:val="nil"/>
              <w:bottom w:val="nil"/>
            </w:tcBorders>
          </w:tcPr>
          <w:p w14:paraId="63F5B694" w14:textId="77777777" w:rsidR="00F2661F" w:rsidRDefault="00F2661F" w:rsidP="00BA7019"/>
        </w:tc>
        <w:tc>
          <w:tcPr>
            <w:tcW w:w="1689" w:type="dxa"/>
            <w:tcBorders>
              <w:top w:val="nil"/>
              <w:bottom w:val="nil"/>
            </w:tcBorders>
          </w:tcPr>
          <w:p w14:paraId="646A3962" w14:textId="77777777" w:rsidR="00F2661F" w:rsidRPr="00A15942" w:rsidRDefault="00F2661F" w:rsidP="00BA7019">
            <w:pPr>
              <w:rPr>
                <w:sz w:val="16"/>
                <w:szCs w:val="16"/>
              </w:rPr>
            </w:pPr>
            <w:r w:rsidRPr="00A15942">
              <w:rPr>
                <w:sz w:val="16"/>
                <w:szCs w:val="16"/>
              </w:rPr>
              <w:t>Date and time of Meeting</w:t>
            </w:r>
          </w:p>
        </w:tc>
        <w:tc>
          <w:tcPr>
            <w:tcW w:w="2027" w:type="dxa"/>
            <w:tcBorders>
              <w:top w:val="nil"/>
              <w:bottom w:val="nil"/>
            </w:tcBorders>
          </w:tcPr>
          <w:p w14:paraId="5A285AD6" w14:textId="77777777" w:rsidR="00F2661F" w:rsidRDefault="00B478CD" w:rsidP="000E7F6B">
            <w:pPr>
              <w:rPr>
                <w:sz w:val="16"/>
                <w:szCs w:val="16"/>
              </w:rPr>
            </w:pPr>
            <w:r>
              <w:rPr>
                <w:sz w:val="16"/>
                <w:szCs w:val="16"/>
              </w:rPr>
              <w:t>Tuesday 18 February</w:t>
            </w:r>
          </w:p>
          <w:p w14:paraId="5931B5B5" w14:textId="77777777" w:rsidR="00B478CD" w:rsidRPr="00A15942" w:rsidRDefault="00B478CD" w:rsidP="000E7F6B">
            <w:pPr>
              <w:rPr>
                <w:sz w:val="16"/>
                <w:szCs w:val="16"/>
              </w:rPr>
            </w:pPr>
            <w:r>
              <w:rPr>
                <w:sz w:val="16"/>
                <w:szCs w:val="16"/>
              </w:rPr>
              <w:t>14.30 – 17.00</w:t>
            </w:r>
          </w:p>
        </w:tc>
        <w:tc>
          <w:tcPr>
            <w:tcW w:w="2027" w:type="dxa"/>
            <w:tcBorders>
              <w:top w:val="nil"/>
              <w:bottom w:val="nil"/>
            </w:tcBorders>
          </w:tcPr>
          <w:p w14:paraId="6314C528" w14:textId="77777777" w:rsidR="00F2661F" w:rsidRPr="00A15942" w:rsidRDefault="00F2661F" w:rsidP="00BA7019">
            <w:pPr>
              <w:rPr>
                <w:sz w:val="16"/>
                <w:szCs w:val="16"/>
                <w:highlight w:val="yellow"/>
              </w:rPr>
            </w:pPr>
          </w:p>
        </w:tc>
      </w:tr>
      <w:tr w:rsidR="00F2661F" w14:paraId="0BDA96DF" w14:textId="77777777" w:rsidTr="00A15942">
        <w:tc>
          <w:tcPr>
            <w:tcW w:w="3757" w:type="dxa"/>
            <w:vMerge/>
            <w:tcBorders>
              <w:top w:val="nil"/>
              <w:bottom w:val="single" w:sz="18" w:space="0" w:color="666699"/>
            </w:tcBorders>
          </w:tcPr>
          <w:p w14:paraId="5B0D98CD" w14:textId="77777777" w:rsidR="00F2661F" w:rsidRDefault="00F2661F" w:rsidP="00BA7019"/>
        </w:tc>
        <w:tc>
          <w:tcPr>
            <w:tcW w:w="1689" w:type="dxa"/>
            <w:tcBorders>
              <w:top w:val="nil"/>
              <w:bottom w:val="single" w:sz="18" w:space="0" w:color="666699"/>
            </w:tcBorders>
          </w:tcPr>
          <w:p w14:paraId="33ABCD29" w14:textId="77777777" w:rsidR="00F2661F" w:rsidRPr="00A15942" w:rsidRDefault="00F2661F" w:rsidP="00BA7019">
            <w:pPr>
              <w:rPr>
                <w:sz w:val="16"/>
                <w:szCs w:val="16"/>
              </w:rPr>
            </w:pPr>
            <w:r w:rsidRPr="00A15942">
              <w:rPr>
                <w:sz w:val="16"/>
                <w:szCs w:val="16"/>
              </w:rPr>
              <w:t>Location</w:t>
            </w:r>
          </w:p>
        </w:tc>
        <w:tc>
          <w:tcPr>
            <w:tcW w:w="2027" w:type="dxa"/>
            <w:tcBorders>
              <w:top w:val="nil"/>
              <w:bottom w:val="single" w:sz="18" w:space="0" w:color="666699"/>
            </w:tcBorders>
          </w:tcPr>
          <w:p w14:paraId="60EA6BD1" w14:textId="77777777" w:rsidR="00F2661F" w:rsidRPr="00A15942" w:rsidRDefault="00B478CD" w:rsidP="000E7F6B">
            <w:pPr>
              <w:rPr>
                <w:sz w:val="16"/>
                <w:szCs w:val="16"/>
              </w:rPr>
            </w:pPr>
            <w:r>
              <w:rPr>
                <w:sz w:val="16"/>
                <w:szCs w:val="16"/>
              </w:rPr>
              <w:t>Ofgem, 9 Millbank</w:t>
            </w:r>
          </w:p>
        </w:tc>
        <w:tc>
          <w:tcPr>
            <w:tcW w:w="2027" w:type="dxa"/>
            <w:tcBorders>
              <w:top w:val="nil"/>
              <w:bottom w:val="single" w:sz="18" w:space="0" w:color="666699"/>
            </w:tcBorders>
          </w:tcPr>
          <w:p w14:paraId="1C372D89" w14:textId="77777777" w:rsidR="00F2661F" w:rsidRPr="00A15942" w:rsidRDefault="00F2661F" w:rsidP="00BA7019">
            <w:pPr>
              <w:rPr>
                <w:sz w:val="16"/>
                <w:szCs w:val="16"/>
              </w:rPr>
            </w:pPr>
          </w:p>
        </w:tc>
      </w:tr>
    </w:tbl>
    <w:p w14:paraId="5BDAA208" w14:textId="77777777" w:rsidR="00F676F0" w:rsidRDefault="00F676F0" w:rsidP="00BA7019"/>
    <w:p w14:paraId="6D86EF82" w14:textId="77777777" w:rsidR="00184ECF" w:rsidRDefault="0082673C" w:rsidP="00F2661F">
      <w:pPr>
        <w:pStyle w:val="Heading1"/>
      </w:pPr>
      <w:r>
        <w:t>Present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111"/>
      </w:tblGrid>
      <w:tr w:rsidR="00221F37" w14:paraId="03657D01" w14:textId="77777777" w:rsidTr="00221F37">
        <w:tc>
          <w:tcPr>
            <w:tcW w:w="4819" w:type="dxa"/>
          </w:tcPr>
          <w:p w14:paraId="6C9F4FED" w14:textId="7BE719C3" w:rsidR="00221F37" w:rsidRDefault="00221F37" w:rsidP="00A15942">
            <w:pPr>
              <w:ind w:firstLine="33"/>
            </w:pPr>
            <w:r w:rsidRPr="003745AC">
              <w:t>Sara Bell</w:t>
            </w:r>
            <w:r w:rsidR="00865426">
              <w:t xml:space="preserve"> (SB)</w:t>
            </w:r>
          </w:p>
        </w:tc>
        <w:tc>
          <w:tcPr>
            <w:tcW w:w="4111" w:type="dxa"/>
          </w:tcPr>
          <w:p w14:paraId="36CA211F" w14:textId="43D9046B" w:rsidR="00221F37" w:rsidRDefault="001741C5" w:rsidP="00A15942">
            <w:pPr>
              <w:ind w:firstLine="33"/>
            </w:pPr>
            <w:r>
              <w:t>UK Demand Response Association</w:t>
            </w:r>
          </w:p>
        </w:tc>
      </w:tr>
      <w:tr w:rsidR="00221F37" w14:paraId="7DAE154F" w14:textId="77777777" w:rsidTr="00221F37">
        <w:tc>
          <w:tcPr>
            <w:tcW w:w="4819" w:type="dxa"/>
          </w:tcPr>
          <w:p w14:paraId="5EA2E34D" w14:textId="6BD45888" w:rsidR="00221F37" w:rsidRDefault="00221F37" w:rsidP="00A15942">
            <w:pPr>
              <w:ind w:firstLine="33"/>
            </w:pPr>
            <w:r w:rsidRPr="003745AC">
              <w:t>Sanna Atherton</w:t>
            </w:r>
            <w:r w:rsidR="00865426">
              <w:t xml:space="preserve"> (SA)</w:t>
            </w:r>
          </w:p>
        </w:tc>
        <w:tc>
          <w:tcPr>
            <w:tcW w:w="4111" w:type="dxa"/>
          </w:tcPr>
          <w:p w14:paraId="29F6D74B" w14:textId="5B8B1E14" w:rsidR="00221F37" w:rsidRDefault="001741C5" w:rsidP="00A15942">
            <w:pPr>
              <w:ind w:firstLine="33"/>
            </w:pPr>
            <w:r>
              <w:t>WPD</w:t>
            </w:r>
          </w:p>
        </w:tc>
      </w:tr>
      <w:tr w:rsidR="00221F37" w14:paraId="2BF82AC4" w14:textId="77777777" w:rsidTr="00221F37">
        <w:tc>
          <w:tcPr>
            <w:tcW w:w="4819" w:type="dxa"/>
          </w:tcPr>
          <w:p w14:paraId="3F5F182B" w14:textId="4C553BA3" w:rsidR="00221F37" w:rsidRDefault="00221F37" w:rsidP="00A15942">
            <w:pPr>
              <w:ind w:firstLine="33"/>
            </w:pPr>
            <w:r w:rsidRPr="003745AC">
              <w:t>Tim Newton</w:t>
            </w:r>
            <w:r w:rsidR="00865426">
              <w:t xml:space="preserve"> (TN)</w:t>
            </w:r>
          </w:p>
        </w:tc>
        <w:tc>
          <w:tcPr>
            <w:tcW w:w="4111" w:type="dxa"/>
          </w:tcPr>
          <w:p w14:paraId="3E2EFEF7" w14:textId="778B4A59" w:rsidR="00221F37" w:rsidRDefault="001741C5" w:rsidP="00A15942">
            <w:pPr>
              <w:ind w:firstLine="33"/>
            </w:pPr>
            <w:r>
              <w:t>E.On</w:t>
            </w:r>
          </w:p>
        </w:tc>
      </w:tr>
      <w:tr w:rsidR="00221F37" w14:paraId="31C93243" w14:textId="77777777" w:rsidTr="00221F37">
        <w:tc>
          <w:tcPr>
            <w:tcW w:w="4819" w:type="dxa"/>
          </w:tcPr>
          <w:p w14:paraId="73C410EA" w14:textId="7CDDBB25" w:rsidR="00221F37" w:rsidRDefault="00221F37" w:rsidP="00A15942">
            <w:pPr>
              <w:ind w:firstLine="33"/>
            </w:pPr>
            <w:r w:rsidRPr="003745AC">
              <w:t>Brian Robinson</w:t>
            </w:r>
            <w:r w:rsidR="00865426">
              <w:t xml:space="preserve"> (BR)</w:t>
            </w:r>
          </w:p>
        </w:tc>
        <w:tc>
          <w:tcPr>
            <w:tcW w:w="4111" w:type="dxa"/>
          </w:tcPr>
          <w:p w14:paraId="43C9DA51" w14:textId="49E129B6" w:rsidR="00221F37" w:rsidRDefault="007F6D1D" w:rsidP="00A15942">
            <w:pPr>
              <w:ind w:firstLine="33"/>
            </w:pPr>
            <w:r>
              <w:t>CGI</w:t>
            </w:r>
          </w:p>
        </w:tc>
      </w:tr>
      <w:tr w:rsidR="00221F37" w14:paraId="67851B37" w14:textId="77777777" w:rsidTr="00221F37">
        <w:tc>
          <w:tcPr>
            <w:tcW w:w="4819" w:type="dxa"/>
          </w:tcPr>
          <w:p w14:paraId="2500D00A" w14:textId="61617FF6" w:rsidR="00221F37" w:rsidRDefault="00221F37" w:rsidP="00A15942">
            <w:pPr>
              <w:ind w:firstLine="33"/>
            </w:pPr>
            <w:r w:rsidRPr="003745AC">
              <w:t>Olaf Islei</w:t>
            </w:r>
            <w:r w:rsidR="00865426">
              <w:t xml:space="preserve"> (OI)</w:t>
            </w:r>
          </w:p>
        </w:tc>
        <w:tc>
          <w:tcPr>
            <w:tcW w:w="4111" w:type="dxa"/>
          </w:tcPr>
          <w:p w14:paraId="2B39E7FA" w14:textId="30444917" w:rsidR="00221F37" w:rsidRDefault="00E04EAF" w:rsidP="00A15942">
            <w:pPr>
              <w:ind w:firstLine="33"/>
            </w:pPr>
            <w:r>
              <w:t>APX Group</w:t>
            </w:r>
          </w:p>
        </w:tc>
      </w:tr>
      <w:tr w:rsidR="00221F37" w14:paraId="0C6B21FA" w14:textId="77777777" w:rsidTr="00221F37">
        <w:tc>
          <w:tcPr>
            <w:tcW w:w="4819" w:type="dxa"/>
          </w:tcPr>
          <w:p w14:paraId="769AC61A" w14:textId="1FAF0FAE" w:rsidR="00221F37" w:rsidRDefault="00221F37" w:rsidP="00A15942">
            <w:pPr>
              <w:ind w:firstLine="33"/>
            </w:pPr>
            <w:r w:rsidRPr="003745AC">
              <w:t>Jill Cainey</w:t>
            </w:r>
            <w:r w:rsidR="00865426">
              <w:t xml:space="preserve"> (JC</w:t>
            </w:r>
            <w:r w:rsidR="00061711">
              <w:t>a</w:t>
            </w:r>
            <w:r w:rsidR="00865426">
              <w:t>)</w:t>
            </w:r>
          </w:p>
        </w:tc>
        <w:tc>
          <w:tcPr>
            <w:tcW w:w="4111" w:type="dxa"/>
          </w:tcPr>
          <w:p w14:paraId="2AAEBBE6" w14:textId="46B4BC4A" w:rsidR="00221F37" w:rsidRDefault="00E04EAF" w:rsidP="00A15942">
            <w:pPr>
              <w:ind w:firstLine="33"/>
            </w:pPr>
            <w:r>
              <w:t>Electricity Storage Network</w:t>
            </w:r>
          </w:p>
        </w:tc>
      </w:tr>
      <w:tr w:rsidR="00221F37" w14:paraId="3768A292" w14:textId="77777777" w:rsidTr="00221F37">
        <w:tc>
          <w:tcPr>
            <w:tcW w:w="4819" w:type="dxa"/>
          </w:tcPr>
          <w:p w14:paraId="72CC333F" w14:textId="128C07AA" w:rsidR="00221F37" w:rsidRDefault="00221F37" w:rsidP="00A15942">
            <w:pPr>
              <w:ind w:firstLine="33"/>
            </w:pPr>
            <w:r w:rsidRPr="003745AC">
              <w:t>Jenny Rogers</w:t>
            </w:r>
            <w:r w:rsidR="00865426">
              <w:t xml:space="preserve"> (JR)</w:t>
            </w:r>
          </w:p>
        </w:tc>
        <w:tc>
          <w:tcPr>
            <w:tcW w:w="4111" w:type="dxa"/>
          </w:tcPr>
          <w:p w14:paraId="1ED6F458" w14:textId="1EA840EC" w:rsidR="00221F37" w:rsidRDefault="00E04EAF" w:rsidP="00A15942">
            <w:pPr>
              <w:ind w:firstLine="33"/>
            </w:pPr>
            <w:r>
              <w:t>SSE Power Distribution</w:t>
            </w:r>
          </w:p>
        </w:tc>
      </w:tr>
      <w:tr w:rsidR="00221F37" w14:paraId="4EAFADAD" w14:textId="77777777" w:rsidTr="00221F37">
        <w:tc>
          <w:tcPr>
            <w:tcW w:w="4819" w:type="dxa"/>
          </w:tcPr>
          <w:p w14:paraId="39E85A3B" w14:textId="210EC739" w:rsidR="00221F37" w:rsidRDefault="00221F37" w:rsidP="00A15942">
            <w:pPr>
              <w:ind w:firstLine="33"/>
            </w:pPr>
            <w:r w:rsidRPr="003745AC">
              <w:t>Brian Shewan</w:t>
            </w:r>
            <w:r w:rsidR="00865426">
              <w:t xml:space="preserve"> (BS)</w:t>
            </w:r>
          </w:p>
        </w:tc>
        <w:tc>
          <w:tcPr>
            <w:tcW w:w="4111" w:type="dxa"/>
          </w:tcPr>
          <w:p w14:paraId="21DA4C59" w14:textId="37CF4FA3" w:rsidR="00221F37" w:rsidRDefault="00E04EAF" w:rsidP="00A15942">
            <w:pPr>
              <w:ind w:firstLine="33"/>
            </w:pPr>
            <w:r>
              <w:t>SSE Power Distribution</w:t>
            </w:r>
          </w:p>
        </w:tc>
      </w:tr>
      <w:tr w:rsidR="00221F37" w14:paraId="275FEAD2" w14:textId="77777777" w:rsidTr="00221F37">
        <w:tc>
          <w:tcPr>
            <w:tcW w:w="4819" w:type="dxa"/>
          </w:tcPr>
          <w:p w14:paraId="510F15EF" w14:textId="4EFD8D9A" w:rsidR="00221F37" w:rsidRDefault="00221F37" w:rsidP="00A15942">
            <w:pPr>
              <w:ind w:firstLine="33"/>
            </w:pPr>
            <w:r w:rsidRPr="003745AC">
              <w:t>Andrew Neves</w:t>
            </w:r>
            <w:r w:rsidR="00865426">
              <w:t xml:space="preserve"> (AN)</w:t>
            </w:r>
          </w:p>
        </w:tc>
        <w:tc>
          <w:tcPr>
            <w:tcW w:w="4111" w:type="dxa"/>
          </w:tcPr>
          <w:p w14:paraId="4AC94B70" w14:textId="35B02222" w:rsidR="00221F37" w:rsidRDefault="001741C5" w:rsidP="00A15942">
            <w:pPr>
              <w:ind w:firstLine="33"/>
            </w:pPr>
            <w:r>
              <w:t>Engage Consulting</w:t>
            </w:r>
          </w:p>
        </w:tc>
      </w:tr>
      <w:tr w:rsidR="00221F37" w14:paraId="5D094B62" w14:textId="77777777" w:rsidTr="00221F37">
        <w:tc>
          <w:tcPr>
            <w:tcW w:w="4819" w:type="dxa"/>
          </w:tcPr>
          <w:p w14:paraId="5279F461" w14:textId="702E3A1D" w:rsidR="00221F37" w:rsidRDefault="00221F37" w:rsidP="00A15942">
            <w:pPr>
              <w:ind w:firstLine="33"/>
            </w:pPr>
            <w:r w:rsidRPr="003745AC">
              <w:t>Judith Ward</w:t>
            </w:r>
            <w:r w:rsidR="00865426">
              <w:t xml:space="preserve"> (JW)</w:t>
            </w:r>
          </w:p>
        </w:tc>
        <w:tc>
          <w:tcPr>
            <w:tcW w:w="4111" w:type="dxa"/>
          </w:tcPr>
          <w:p w14:paraId="2BA110AB" w14:textId="272EF902" w:rsidR="00221F37" w:rsidRDefault="00E04EAF" w:rsidP="00A15942">
            <w:pPr>
              <w:ind w:firstLine="33"/>
            </w:pPr>
            <w:r>
              <w:t>Sustainability First</w:t>
            </w:r>
          </w:p>
        </w:tc>
      </w:tr>
      <w:tr w:rsidR="00221F37" w14:paraId="6C110CF8" w14:textId="77777777" w:rsidTr="00221F37">
        <w:tc>
          <w:tcPr>
            <w:tcW w:w="4819" w:type="dxa"/>
          </w:tcPr>
          <w:p w14:paraId="258FD142" w14:textId="38785D53" w:rsidR="00221F37" w:rsidRDefault="00221F37" w:rsidP="00A15942">
            <w:pPr>
              <w:ind w:firstLine="33"/>
            </w:pPr>
            <w:r w:rsidRPr="003745AC">
              <w:t>Andrew Jones</w:t>
            </w:r>
            <w:r w:rsidR="00865426">
              <w:t xml:space="preserve"> (AJ)</w:t>
            </w:r>
          </w:p>
        </w:tc>
        <w:tc>
          <w:tcPr>
            <w:tcW w:w="4111" w:type="dxa"/>
          </w:tcPr>
          <w:p w14:paraId="195BA68C" w14:textId="50137E91" w:rsidR="00221F37" w:rsidRDefault="00E04EAF" w:rsidP="00A15942">
            <w:pPr>
              <w:ind w:firstLine="33"/>
            </w:pPr>
            <w:r>
              <w:t>EDF Energy</w:t>
            </w:r>
          </w:p>
        </w:tc>
      </w:tr>
      <w:tr w:rsidR="003D045F" w14:paraId="0386BDDB" w14:textId="77777777" w:rsidTr="00221F37">
        <w:tc>
          <w:tcPr>
            <w:tcW w:w="4819" w:type="dxa"/>
          </w:tcPr>
          <w:p w14:paraId="16B4E64C" w14:textId="7CA11D7A" w:rsidR="003D045F" w:rsidRDefault="003D045F" w:rsidP="00A15942">
            <w:pPr>
              <w:ind w:firstLine="33"/>
            </w:pPr>
            <w:r w:rsidRPr="003745AC">
              <w:t>Tabish Khan</w:t>
            </w:r>
            <w:r w:rsidR="00865426">
              <w:t xml:space="preserve"> (TK)</w:t>
            </w:r>
          </w:p>
        </w:tc>
        <w:tc>
          <w:tcPr>
            <w:tcW w:w="4111" w:type="dxa"/>
          </w:tcPr>
          <w:p w14:paraId="34F3AED4" w14:textId="16EB6D66" w:rsidR="003D045F" w:rsidRDefault="00E04EAF" w:rsidP="00A15942">
            <w:pPr>
              <w:ind w:firstLine="33"/>
            </w:pPr>
            <w:r>
              <w:t>British Gas</w:t>
            </w:r>
          </w:p>
        </w:tc>
      </w:tr>
      <w:tr w:rsidR="003D045F" w14:paraId="1ABA7B6C" w14:textId="77777777" w:rsidTr="00221F37">
        <w:tc>
          <w:tcPr>
            <w:tcW w:w="4819" w:type="dxa"/>
          </w:tcPr>
          <w:p w14:paraId="7E174DA0" w14:textId="4BF4D9D7" w:rsidR="003D045F" w:rsidRDefault="003D045F" w:rsidP="00A15942">
            <w:pPr>
              <w:ind w:firstLine="33"/>
            </w:pPr>
            <w:r w:rsidRPr="003745AC">
              <w:t>Christian Hill</w:t>
            </w:r>
            <w:r w:rsidR="00865426">
              <w:t xml:space="preserve"> (CH)</w:t>
            </w:r>
          </w:p>
        </w:tc>
        <w:tc>
          <w:tcPr>
            <w:tcW w:w="4111" w:type="dxa"/>
          </w:tcPr>
          <w:p w14:paraId="5F09EC48" w14:textId="00B85174" w:rsidR="003D045F" w:rsidRDefault="00E04EAF" w:rsidP="00A15942">
            <w:pPr>
              <w:ind w:firstLine="33"/>
            </w:pPr>
            <w:r>
              <w:t xml:space="preserve">Cooperative Energy </w:t>
            </w:r>
          </w:p>
        </w:tc>
      </w:tr>
      <w:tr w:rsidR="003D045F" w14:paraId="693229BA" w14:textId="77777777" w:rsidTr="00221F37">
        <w:tc>
          <w:tcPr>
            <w:tcW w:w="4819" w:type="dxa"/>
          </w:tcPr>
          <w:p w14:paraId="4117FDDE" w14:textId="1AFF69D5" w:rsidR="003D045F" w:rsidRDefault="003D045F" w:rsidP="001D5568">
            <w:pPr>
              <w:ind w:firstLine="33"/>
            </w:pPr>
            <w:r w:rsidRPr="003745AC">
              <w:t>Neil Rowley</w:t>
            </w:r>
            <w:r>
              <w:t xml:space="preserve"> </w:t>
            </w:r>
            <w:r w:rsidR="00865426">
              <w:t>(NR)</w:t>
            </w:r>
            <w:r w:rsidR="001D5568">
              <w:t xml:space="preserve"> (Phone)</w:t>
            </w:r>
          </w:p>
        </w:tc>
        <w:tc>
          <w:tcPr>
            <w:tcW w:w="4111" w:type="dxa"/>
          </w:tcPr>
          <w:p w14:paraId="50730FCE" w14:textId="3A198DA2" w:rsidR="003D045F" w:rsidRDefault="00E04EAF" w:rsidP="00A15942">
            <w:pPr>
              <w:ind w:firstLine="33"/>
            </w:pPr>
            <w:r>
              <w:t>National Grid</w:t>
            </w:r>
          </w:p>
        </w:tc>
      </w:tr>
      <w:tr w:rsidR="003D045F" w14:paraId="5B14A499" w14:textId="77777777" w:rsidTr="00221F37">
        <w:tc>
          <w:tcPr>
            <w:tcW w:w="4819" w:type="dxa"/>
          </w:tcPr>
          <w:p w14:paraId="5C1E18B5" w14:textId="793EE6F2" w:rsidR="003D045F" w:rsidRDefault="003D045F" w:rsidP="00A15942">
            <w:pPr>
              <w:ind w:firstLine="33"/>
            </w:pPr>
            <w:r>
              <w:t>Zoltan Zavody</w:t>
            </w:r>
            <w:r w:rsidR="00865426">
              <w:t xml:space="preserve"> (ZZ)</w:t>
            </w:r>
          </w:p>
        </w:tc>
        <w:tc>
          <w:tcPr>
            <w:tcW w:w="4111" w:type="dxa"/>
          </w:tcPr>
          <w:p w14:paraId="09A6B259" w14:textId="411A381C" w:rsidR="003D045F" w:rsidRDefault="001741C5" w:rsidP="00A15942">
            <w:pPr>
              <w:ind w:firstLine="33"/>
            </w:pPr>
            <w:r>
              <w:t>RenewableUK</w:t>
            </w:r>
          </w:p>
        </w:tc>
      </w:tr>
      <w:tr w:rsidR="003D045F" w14:paraId="402D61A2" w14:textId="77777777" w:rsidTr="00221F37">
        <w:tc>
          <w:tcPr>
            <w:tcW w:w="4819" w:type="dxa"/>
          </w:tcPr>
          <w:p w14:paraId="1427DD7C" w14:textId="06FDA922" w:rsidR="003D045F" w:rsidRDefault="00865426" w:rsidP="00A15942">
            <w:pPr>
              <w:ind w:firstLine="33"/>
            </w:pPr>
            <w:r>
              <w:t>Adriana Laguna (AL)</w:t>
            </w:r>
          </w:p>
        </w:tc>
        <w:tc>
          <w:tcPr>
            <w:tcW w:w="4111" w:type="dxa"/>
          </w:tcPr>
          <w:p w14:paraId="58689BC9" w14:textId="015B4611" w:rsidR="003D045F" w:rsidRDefault="00E04EAF" w:rsidP="00A15942">
            <w:pPr>
              <w:ind w:firstLine="33"/>
            </w:pPr>
            <w:r>
              <w:t>UK Power Networks</w:t>
            </w:r>
          </w:p>
        </w:tc>
      </w:tr>
      <w:tr w:rsidR="003D045F" w14:paraId="04FEF392" w14:textId="77777777" w:rsidTr="00221F37">
        <w:tc>
          <w:tcPr>
            <w:tcW w:w="4819" w:type="dxa"/>
          </w:tcPr>
          <w:p w14:paraId="701348A5" w14:textId="4C4E389F" w:rsidR="003D045F" w:rsidRDefault="003D045F" w:rsidP="00A15942">
            <w:pPr>
              <w:ind w:firstLine="33"/>
            </w:pPr>
            <w:r>
              <w:t>Yselkla Farmer</w:t>
            </w:r>
            <w:r w:rsidR="00865426">
              <w:t xml:space="preserve"> (YF)</w:t>
            </w:r>
          </w:p>
        </w:tc>
        <w:tc>
          <w:tcPr>
            <w:tcW w:w="4111" w:type="dxa"/>
          </w:tcPr>
          <w:p w14:paraId="2ED6E43E" w14:textId="259B9A52" w:rsidR="003D045F" w:rsidRDefault="00E04EAF" w:rsidP="00A15942">
            <w:pPr>
              <w:ind w:firstLine="33"/>
            </w:pPr>
            <w:r>
              <w:t>BEAMA</w:t>
            </w:r>
          </w:p>
        </w:tc>
      </w:tr>
      <w:tr w:rsidR="003D045F" w14:paraId="0E717518" w14:textId="77777777" w:rsidTr="00221F37">
        <w:tc>
          <w:tcPr>
            <w:tcW w:w="4819" w:type="dxa"/>
          </w:tcPr>
          <w:p w14:paraId="5EC3B070" w14:textId="6FDEF93C" w:rsidR="003D045F" w:rsidRDefault="003D045F" w:rsidP="00A15942">
            <w:pPr>
              <w:ind w:firstLine="33"/>
            </w:pPr>
            <w:r>
              <w:t>Kevin Spencer</w:t>
            </w:r>
            <w:r w:rsidR="00865426">
              <w:t xml:space="preserve"> (KS)</w:t>
            </w:r>
          </w:p>
        </w:tc>
        <w:tc>
          <w:tcPr>
            <w:tcW w:w="4111" w:type="dxa"/>
          </w:tcPr>
          <w:p w14:paraId="1454A603" w14:textId="5D7C12B5" w:rsidR="003D045F" w:rsidRDefault="00E04EAF" w:rsidP="00A15942">
            <w:pPr>
              <w:ind w:firstLine="33"/>
            </w:pPr>
            <w:r>
              <w:t>Elexon</w:t>
            </w:r>
          </w:p>
        </w:tc>
      </w:tr>
      <w:tr w:rsidR="003D045F" w14:paraId="14592F97" w14:textId="77777777" w:rsidTr="00221F37">
        <w:tc>
          <w:tcPr>
            <w:tcW w:w="4819" w:type="dxa"/>
          </w:tcPr>
          <w:p w14:paraId="380EFBDA" w14:textId="19B7150B" w:rsidR="003D045F" w:rsidRDefault="003D045F" w:rsidP="00221F37">
            <w:r>
              <w:t>John Christie</w:t>
            </w:r>
            <w:r w:rsidR="00865426">
              <w:t xml:space="preserve"> (JC</w:t>
            </w:r>
            <w:r w:rsidR="00061711">
              <w:t>h</w:t>
            </w:r>
            <w:r w:rsidR="00865426">
              <w:t>)</w:t>
            </w:r>
          </w:p>
        </w:tc>
        <w:tc>
          <w:tcPr>
            <w:tcW w:w="4111" w:type="dxa"/>
          </w:tcPr>
          <w:p w14:paraId="31E0B3A9" w14:textId="7BE683B4" w:rsidR="003D045F" w:rsidRDefault="00E04EAF" w:rsidP="00A15942">
            <w:pPr>
              <w:ind w:firstLine="33"/>
            </w:pPr>
            <w:r>
              <w:t>DECC</w:t>
            </w:r>
          </w:p>
        </w:tc>
      </w:tr>
      <w:tr w:rsidR="003D045F" w14:paraId="6A512C6D" w14:textId="77777777" w:rsidTr="00221F37">
        <w:tc>
          <w:tcPr>
            <w:tcW w:w="4819" w:type="dxa"/>
          </w:tcPr>
          <w:p w14:paraId="7DB2B432" w14:textId="6F9664E7" w:rsidR="003D045F" w:rsidRDefault="00E04EAF" w:rsidP="00A15942">
            <w:pPr>
              <w:ind w:firstLine="33"/>
            </w:pPr>
            <w:r>
              <w:t xml:space="preserve">Ben Davidson </w:t>
            </w:r>
            <w:r w:rsidR="00865426">
              <w:t xml:space="preserve"> (BD)</w:t>
            </w:r>
          </w:p>
        </w:tc>
        <w:tc>
          <w:tcPr>
            <w:tcW w:w="4111" w:type="dxa"/>
          </w:tcPr>
          <w:p w14:paraId="4BB7EECE" w14:textId="55577FBC" w:rsidR="003D045F" w:rsidRDefault="00E04EAF" w:rsidP="00A15942">
            <w:pPr>
              <w:ind w:firstLine="33"/>
            </w:pPr>
            <w:r>
              <w:t>OLEV</w:t>
            </w:r>
          </w:p>
        </w:tc>
      </w:tr>
      <w:tr w:rsidR="003D045F" w14:paraId="13655FFA" w14:textId="77777777" w:rsidTr="00221F37">
        <w:tc>
          <w:tcPr>
            <w:tcW w:w="4819" w:type="dxa"/>
          </w:tcPr>
          <w:p w14:paraId="07DFE6E6" w14:textId="77A9D605" w:rsidR="003D045F" w:rsidRDefault="003D045F" w:rsidP="00A15942">
            <w:pPr>
              <w:ind w:firstLine="33"/>
            </w:pPr>
            <w:r>
              <w:t>Dora Guzeleva</w:t>
            </w:r>
            <w:r w:rsidR="00865426">
              <w:t xml:space="preserve"> (DG)</w:t>
            </w:r>
          </w:p>
        </w:tc>
        <w:tc>
          <w:tcPr>
            <w:tcW w:w="4111" w:type="dxa"/>
          </w:tcPr>
          <w:p w14:paraId="33A9C7DE" w14:textId="45F2B2BF" w:rsidR="003D045F" w:rsidRDefault="00E04EAF" w:rsidP="00A15942">
            <w:pPr>
              <w:ind w:firstLine="33"/>
            </w:pPr>
            <w:r>
              <w:t>Ofgem (Distribution Policy)</w:t>
            </w:r>
          </w:p>
        </w:tc>
      </w:tr>
      <w:tr w:rsidR="003D045F" w14:paraId="50F1389C" w14:textId="77777777" w:rsidTr="00221F37">
        <w:tc>
          <w:tcPr>
            <w:tcW w:w="4819" w:type="dxa"/>
          </w:tcPr>
          <w:p w14:paraId="1CBD294B" w14:textId="4984716E" w:rsidR="003D045F" w:rsidRDefault="003D045F" w:rsidP="00A15942">
            <w:pPr>
              <w:ind w:firstLine="33"/>
            </w:pPr>
            <w:r>
              <w:t>Grant McEachran</w:t>
            </w:r>
            <w:r w:rsidR="00865426">
              <w:t xml:space="preserve"> (GM)</w:t>
            </w:r>
          </w:p>
        </w:tc>
        <w:tc>
          <w:tcPr>
            <w:tcW w:w="4111" w:type="dxa"/>
          </w:tcPr>
          <w:p w14:paraId="1FE5E0E3" w14:textId="6ADA3AD1" w:rsidR="003D045F" w:rsidRDefault="00E04EAF" w:rsidP="00A15942">
            <w:pPr>
              <w:ind w:firstLine="33"/>
            </w:pPr>
            <w:r>
              <w:t>Ofgem (Smarter Markets)</w:t>
            </w:r>
          </w:p>
        </w:tc>
      </w:tr>
      <w:tr w:rsidR="003D045F" w14:paraId="1F1C0E67" w14:textId="77777777" w:rsidTr="00221F37">
        <w:tc>
          <w:tcPr>
            <w:tcW w:w="4819" w:type="dxa"/>
          </w:tcPr>
          <w:p w14:paraId="6B3293B6" w14:textId="79006D49" w:rsidR="003D045F" w:rsidRDefault="003D045F" w:rsidP="00A15942">
            <w:pPr>
              <w:ind w:firstLine="33"/>
            </w:pPr>
            <w:r>
              <w:t>Mark Askew</w:t>
            </w:r>
            <w:r w:rsidR="00865426">
              <w:t xml:space="preserve"> (MA)</w:t>
            </w:r>
          </w:p>
        </w:tc>
        <w:tc>
          <w:tcPr>
            <w:tcW w:w="4111" w:type="dxa"/>
          </w:tcPr>
          <w:p w14:paraId="0E599E56" w14:textId="0AC024BA" w:rsidR="003D045F" w:rsidRDefault="00E04EAF" w:rsidP="00A15942">
            <w:pPr>
              <w:ind w:firstLine="33"/>
            </w:pPr>
            <w:r>
              <w:t>Ofgem (Distribution Policy)</w:t>
            </w:r>
          </w:p>
        </w:tc>
      </w:tr>
      <w:tr w:rsidR="003D045F" w14:paraId="7331B944" w14:textId="77777777" w:rsidTr="00221F37">
        <w:tc>
          <w:tcPr>
            <w:tcW w:w="4819" w:type="dxa"/>
          </w:tcPr>
          <w:p w14:paraId="452ADB0C" w14:textId="206D920B" w:rsidR="003D045F" w:rsidRDefault="003D045F" w:rsidP="00A15942">
            <w:pPr>
              <w:ind w:firstLine="33"/>
            </w:pPr>
            <w:r>
              <w:t>Chiara Redaelli</w:t>
            </w:r>
            <w:r w:rsidR="00865426">
              <w:t xml:space="preserve"> (CR)</w:t>
            </w:r>
          </w:p>
        </w:tc>
        <w:tc>
          <w:tcPr>
            <w:tcW w:w="4111" w:type="dxa"/>
          </w:tcPr>
          <w:p w14:paraId="18223401" w14:textId="6B0E83A5" w:rsidR="003D045F" w:rsidRDefault="00E04EAF" w:rsidP="00A15942">
            <w:pPr>
              <w:ind w:firstLine="33"/>
            </w:pPr>
            <w:r>
              <w:t>Ofgem (Smart Markets)</w:t>
            </w:r>
          </w:p>
        </w:tc>
      </w:tr>
      <w:tr w:rsidR="003D045F" w14:paraId="6BE2F7F5" w14:textId="77777777" w:rsidTr="00221F37">
        <w:tc>
          <w:tcPr>
            <w:tcW w:w="4819" w:type="dxa"/>
          </w:tcPr>
          <w:p w14:paraId="357EAC4D" w14:textId="26886187" w:rsidR="003D045F" w:rsidRDefault="003D045F" w:rsidP="00A15942">
            <w:pPr>
              <w:ind w:firstLine="33"/>
            </w:pPr>
            <w:r>
              <w:t>Bethany Hanna</w:t>
            </w:r>
            <w:r w:rsidR="00865426">
              <w:t xml:space="preserve"> (BH)</w:t>
            </w:r>
          </w:p>
        </w:tc>
        <w:tc>
          <w:tcPr>
            <w:tcW w:w="4111" w:type="dxa"/>
          </w:tcPr>
          <w:p w14:paraId="57A4E49B" w14:textId="26DD2E3B" w:rsidR="003D045F" w:rsidRDefault="00E04EAF" w:rsidP="00A15942">
            <w:pPr>
              <w:ind w:firstLine="33"/>
            </w:pPr>
            <w:r>
              <w:t>Ofgem (Distribution Charging)</w:t>
            </w:r>
          </w:p>
        </w:tc>
      </w:tr>
      <w:tr w:rsidR="003D045F" w14:paraId="6E98A789" w14:textId="77777777" w:rsidTr="00221F37">
        <w:tc>
          <w:tcPr>
            <w:tcW w:w="4819" w:type="dxa"/>
          </w:tcPr>
          <w:p w14:paraId="0E346F13" w14:textId="59122DFD" w:rsidR="003D045F" w:rsidRDefault="003D045F" w:rsidP="00A15942">
            <w:pPr>
              <w:ind w:firstLine="33"/>
            </w:pPr>
            <w:r>
              <w:t>Rachel Hay</w:t>
            </w:r>
            <w:r w:rsidR="00865426">
              <w:t xml:space="preserve"> (RH)</w:t>
            </w:r>
          </w:p>
        </w:tc>
        <w:tc>
          <w:tcPr>
            <w:tcW w:w="4111" w:type="dxa"/>
          </w:tcPr>
          <w:p w14:paraId="0C95EC58" w14:textId="7AA6756B" w:rsidR="003D045F" w:rsidRDefault="001741C5" w:rsidP="00A15942">
            <w:pPr>
              <w:ind w:firstLine="33"/>
            </w:pPr>
            <w:r>
              <w:t>Ofgem (Smart</w:t>
            </w:r>
            <w:r w:rsidR="00072BB2">
              <w:t>er</w:t>
            </w:r>
            <w:r>
              <w:t xml:space="preserve"> Markets)</w:t>
            </w:r>
          </w:p>
        </w:tc>
      </w:tr>
      <w:tr w:rsidR="003D045F" w14:paraId="20A5ED55" w14:textId="77777777" w:rsidTr="00221F37">
        <w:tc>
          <w:tcPr>
            <w:tcW w:w="4819" w:type="dxa"/>
          </w:tcPr>
          <w:p w14:paraId="62E13ECC" w14:textId="297B3AB9" w:rsidR="003D045F" w:rsidRDefault="003D045F" w:rsidP="00A15942">
            <w:pPr>
              <w:ind w:firstLine="33"/>
            </w:pPr>
            <w:r>
              <w:t>Keavy Larkin</w:t>
            </w:r>
            <w:r w:rsidR="00865426">
              <w:t xml:space="preserve"> (KL)</w:t>
            </w:r>
          </w:p>
        </w:tc>
        <w:tc>
          <w:tcPr>
            <w:tcW w:w="4111" w:type="dxa"/>
          </w:tcPr>
          <w:p w14:paraId="7633147D" w14:textId="084DB729" w:rsidR="003D045F" w:rsidRDefault="00E04EAF" w:rsidP="00A15942">
            <w:pPr>
              <w:ind w:firstLine="33"/>
            </w:pPr>
            <w:r>
              <w:t>Ofgem (Distribution Policy)</w:t>
            </w:r>
          </w:p>
        </w:tc>
      </w:tr>
      <w:tr w:rsidR="003D045F" w14:paraId="6231B5A1" w14:textId="77777777" w:rsidTr="00221F37">
        <w:tc>
          <w:tcPr>
            <w:tcW w:w="4819" w:type="dxa"/>
          </w:tcPr>
          <w:p w14:paraId="78338AFB" w14:textId="77888FB0" w:rsidR="003D045F" w:rsidRDefault="003D045F" w:rsidP="00A15942">
            <w:pPr>
              <w:ind w:firstLine="33"/>
            </w:pPr>
            <w:r>
              <w:t>James Goldsack</w:t>
            </w:r>
            <w:r w:rsidR="00865426">
              <w:t xml:space="preserve"> (JG)</w:t>
            </w:r>
          </w:p>
        </w:tc>
        <w:tc>
          <w:tcPr>
            <w:tcW w:w="4111" w:type="dxa"/>
          </w:tcPr>
          <w:p w14:paraId="6C67B904" w14:textId="2A377FCA" w:rsidR="003D045F" w:rsidRDefault="00E04EAF" w:rsidP="00A15942">
            <w:pPr>
              <w:ind w:firstLine="33"/>
            </w:pPr>
            <w:r>
              <w:t>Ofgem (Distribution Policy)</w:t>
            </w:r>
          </w:p>
        </w:tc>
      </w:tr>
      <w:tr w:rsidR="003D045F" w14:paraId="0F6D1D07" w14:textId="77777777" w:rsidTr="00221F37">
        <w:tc>
          <w:tcPr>
            <w:tcW w:w="4819" w:type="dxa"/>
          </w:tcPr>
          <w:p w14:paraId="08A13328" w14:textId="4CFD53E3" w:rsidR="003D045F" w:rsidRDefault="003D045F" w:rsidP="00A15942">
            <w:pPr>
              <w:ind w:firstLine="33"/>
            </w:pPr>
            <w:r>
              <w:t>Andrew White</w:t>
            </w:r>
            <w:r w:rsidR="00865426">
              <w:t xml:space="preserve"> (AW)</w:t>
            </w:r>
          </w:p>
        </w:tc>
        <w:tc>
          <w:tcPr>
            <w:tcW w:w="4111" w:type="dxa"/>
          </w:tcPr>
          <w:p w14:paraId="2B3445F9" w14:textId="2E2E3A6E" w:rsidR="003D045F" w:rsidRDefault="00E04EAF" w:rsidP="00A15942">
            <w:pPr>
              <w:ind w:firstLine="33"/>
            </w:pPr>
            <w:r>
              <w:t>Ofgem (Distribution Policy)</w:t>
            </w:r>
          </w:p>
        </w:tc>
      </w:tr>
      <w:tr w:rsidR="003D045F" w14:paraId="2A9688E6" w14:textId="77777777" w:rsidTr="00221F37">
        <w:tc>
          <w:tcPr>
            <w:tcW w:w="4819" w:type="dxa"/>
          </w:tcPr>
          <w:p w14:paraId="0F685445" w14:textId="2D881C88" w:rsidR="003D045F" w:rsidRDefault="003D045F" w:rsidP="00A15942">
            <w:pPr>
              <w:ind w:firstLine="33"/>
            </w:pPr>
            <w:r>
              <w:t>Dominic Scott</w:t>
            </w:r>
            <w:r w:rsidR="00865426">
              <w:t xml:space="preserve"> (DS)</w:t>
            </w:r>
          </w:p>
        </w:tc>
        <w:tc>
          <w:tcPr>
            <w:tcW w:w="4111" w:type="dxa"/>
          </w:tcPr>
          <w:p w14:paraId="307599B5" w14:textId="3E8463D4" w:rsidR="003D045F" w:rsidRDefault="00E04EAF" w:rsidP="00A15942">
            <w:pPr>
              <w:ind w:firstLine="33"/>
            </w:pPr>
            <w:r>
              <w:t>Ofgem (Wholesale Markets)</w:t>
            </w:r>
          </w:p>
        </w:tc>
      </w:tr>
    </w:tbl>
    <w:p w14:paraId="67794190" w14:textId="77777777" w:rsidR="00F2661F" w:rsidRDefault="00F2661F" w:rsidP="00F2661F">
      <w:pPr>
        <w:pStyle w:val="Heading1"/>
      </w:pPr>
      <w:r>
        <w:t>A</w:t>
      </w:r>
      <w:r w:rsidR="005A5207">
        <w:t>pologies</w:t>
      </w:r>
    </w:p>
    <w:p w14:paraId="31D525FA" w14:textId="6FBA5ACA" w:rsidR="005A5207" w:rsidRPr="005A5207" w:rsidRDefault="00072BB2" w:rsidP="005A5207">
      <w:pPr>
        <w:pStyle w:val="Paragraphnumbered"/>
        <w:numPr>
          <w:ilvl w:val="0"/>
          <w:numId w:val="0"/>
        </w:numPr>
      </w:pPr>
      <w:r>
        <w:t>Conrad Steel (Consumer Futures)</w:t>
      </w:r>
      <w:r w:rsidR="00A33ECC">
        <w:t>, Eammon Bell (Open Energi – Demand Response Association)</w:t>
      </w:r>
    </w:p>
    <w:p w14:paraId="591EBA8A" w14:textId="77777777" w:rsidR="005A5207" w:rsidRPr="005A5207" w:rsidRDefault="00B478CD" w:rsidP="005A5207">
      <w:pPr>
        <w:pStyle w:val="Heading1"/>
      </w:pPr>
      <w:r>
        <w:t>Review of previous minutes</w:t>
      </w:r>
    </w:p>
    <w:p w14:paraId="0AE72E5B" w14:textId="5D6C26BB" w:rsidR="00184ECF" w:rsidRDefault="00F80D67" w:rsidP="00184ECF">
      <w:pPr>
        <w:pStyle w:val="Paragraphnumbered"/>
      </w:pPr>
      <w:r>
        <w:t xml:space="preserve">DG reviewed the minutes from the previous meeting and invited comments from the group. The group had no additional comments on </w:t>
      </w:r>
      <w:r w:rsidR="00235884">
        <w:t xml:space="preserve">the minutes. One action was carried </w:t>
      </w:r>
      <w:r>
        <w:t>forward</w:t>
      </w:r>
      <w:r w:rsidR="00235884">
        <w:t>;</w:t>
      </w:r>
      <w:r w:rsidR="00184CA3">
        <w:t xml:space="preserve"> all other actions from the previous minutes were completed.</w:t>
      </w:r>
    </w:p>
    <w:tbl>
      <w:tblPr>
        <w:tblStyle w:val="TableProfessional"/>
        <w:tblW w:w="9498" w:type="dxa"/>
        <w:tblLook w:val="01E0" w:firstRow="1" w:lastRow="1" w:firstColumn="1" w:lastColumn="1" w:noHBand="0" w:noVBand="0"/>
      </w:tblPr>
      <w:tblGrid>
        <w:gridCol w:w="7513"/>
        <w:gridCol w:w="1985"/>
      </w:tblGrid>
      <w:tr w:rsidR="00184ECF" w14:paraId="2E4B7C9E" w14:textId="77777777" w:rsidTr="000B7412">
        <w:trPr>
          <w:cnfStyle w:val="100000000000" w:firstRow="1" w:lastRow="0" w:firstColumn="0" w:lastColumn="0" w:oddVBand="0" w:evenVBand="0" w:oddHBand="0" w:evenHBand="0" w:firstRowFirstColumn="0" w:firstRowLastColumn="0" w:lastRowFirstColumn="0" w:lastRowLastColumn="0"/>
        </w:trPr>
        <w:tc>
          <w:tcPr>
            <w:tcW w:w="7513" w:type="dxa"/>
          </w:tcPr>
          <w:p w14:paraId="61EA13F3" w14:textId="77777777" w:rsidR="00184ECF" w:rsidRPr="00A15942" w:rsidRDefault="00184ECF" w:rsidP="00A15942">
            <w:pPr>
              <w:ind w:firstLine="33"/>
              <w:rPr>
                <w:b w:val="0"/>
              </w:rPr>
            </w:pPr>
            <w:r w:rsidRPr="00A15942">
              <w:rPr>
                <w:b w:val="0"/>
              </w:rPr>
              <w:t>Action</w:t>
            </w:r>
          </w:p>
        </w:tc>
        <w:tc>
          <w:tcPr>
            <w:tcW w:w="1985" w:type="dxa"/>
          </w:tcPr>
          <w:p w14:paraId="6C0C48A3" w14:textId="77777777" w:rsidR="00184ECF" w:rsidRPr="00A15942" w:rsidRDefault="00184ECF" w:rsidP="00A15942">
            <w:pPr>
              <w:ind w:firstLine="33"/>
              <w:rPr>
                <w:b w:val="0"/>
              </w:rPr>
            </w:pPr>
            <w:r w:rsidRPr="00A15942">
              <w:rPr>
                <w:b w:val="0"/>
              </w:rPr>
              <w:t xml:space="preserve">Person </w:t>
            </w:r>
            <w:r w:rsidR="008B39EE" w:rsidRPr="00A15942">
              <w:rPr>
                <w:b w:val="0"/>
              </w:rPr>
              <w:t>–</w:t>
            </w:r>
            <w:r w:rsidRPr="00A15942">
              <w:rPr>
                <w:b w:val="0"/>
              </w:rPr>
              <w:t xml:space="preserve"> By</w:t>
            </w:r>
          </w:p>
        </w:tc>
      </w:tr>
      <w:tr w:rsidR="00184ECF" w14:paraId="31E80B93" w14:textId="77777777" w:rsidTr="000B7412">
        <w:tc>
          <w:tcPr>
            <w:tcW w:w="7513" w:type="dxa"/>
          </w:tcPr>
          <w:p w14:paraId="20F8865A" w14:textId="2909BFD3" w:rsidR="00184ECF" w:rsidRDefault="00F80D67" w:rsidP="00A15942">
            <w:pPr>
              <w:ind w:firstLine="33"/>
            </w:pPr>
            <w:r>
              <w:t>Update Work Stream 6 website</w:t>
            </w:r>
          </w:p>
        </w:tc>
        <w:tc>
          <w:tcPr>
            <w:tcW w:w="1985" w:type="dxa"/>
          </w:tcPr>
          <w:p w14:paraId="7946F313" w14:textId="0AE919F4" w:rsidR="00184ECF" w:rsidRDefault="00F80D67" w:rsidP="00A15942">
            <w:pPr>
              <w:ind w:firstLine="33"/>
            </w:pPr>
            <w:r>
              <w:t xml:space="preserve">Ofgem </w:t>
            </w:r>
            <w:r w:rsidR="001730FB">
              <w:t>–</w:t>
            </w:r>
            <w:r>
              <w:t xml:space="preserve"> </w:t>
            </w:r>
            <w:r w:rsidR="001730FB">
              <w:t>18 Mar</w:t>
            </w:r>
          </w:p>
        </w:tc>
      </w:tr>
    </w:tbl>
    <w:p w14:paraId="2E10E0FE" w14:textId="77777777" w:rsidR="00CE63AD" w:rsidRDefault="00B478CD" w:rsidP="00CE63AD">
      <w:pPr>
        <w:pStyle w:val="Heading1"/>
      </w:pPr>
      <w:r>
        <w:lastRenderedPageBreak/>
        <w:t>Updates</w:t>
      </w:r>
    </w:p>
    <w:p w14:paraId="58943AE7" w14:textId="7CA47579" w:rsidR="00CE63AD" w:rsidRDefault="00196399" w:rsidP="00CE63AD">
      <w:pPr>
        <w:pStyle w:val="Paragraphnumbered"/>
      </w:pPr>
      <w:r>
        <w:t xml:space="preserve">BH updated the group on ongoing DUoS charging work, including </w:t>
      </w:r>
      <w:r w:rsidR="005900A2">
        <w:t xml:space="preserve">the DUoS methodology </w:t>
      </w:r>
      <w:r w:rsidR="00DA6BE9">
        <w:t xml:space="preserve">changes required to facilitate </w:t>
      </w:r>
      <w:r>
        <w:t xml:space="preserve">the P272 </w:t>
      </w:r>
      <w:r w:rsidR="00A34A72">
        <w:t>modification</w:t>
      </w:r>
      <w:r w:rsidR="006C6561">
        <w:t>.</w:t>
      </w:r>
      <w:r w:rsidR="00DB168D">
        <w:t xml:space="preserve"> The </w:t>
      </w:r>
      <w:r w:rsidR="00273DC3">
        <w:t xml:space="preserve">DNO </w:t>
      </w:r>
      <w:r w:rsidR="00DB168D">
        <w:t xml:space="preserve">group aims to </w:t>
      </w:r>
      <w:r w:rsidR="008614BC">
        <w:t>complete its work by the summer. T</w:t>
      </w:r>
      <w:r w:rsidR="00DB168D">
        <w:t>his will include not just new tariffs but also changes to the calculation of existing tariffs.</w:t>
      </w:r>
      <w:r w:rsidR="00A34A72">
        <w:t xml:space="preserve"> They will consult on these changes with industry</w:t>
      </w:r>
      <w:r w:rsidR="00505A02">
        <w:t>.</w:t>
      </w:r>
      <w:r w:rsidR="00DB168D">
        <w:t xml:space="preserve"> BH requested that </w:t>
      </w:r>
      <w:r w:rsidR="00A34A72">
        <w:t>WS6</w:t>
      </w:r>
      <w:r w:rsidR="00DB168D">
        <w:t xml:space="preserve"> </w:t>
      </w:r>
      <w:r w:rsidR="00A34A72">
        <w:t>review</w:t>
      </w:r>
      <w:r w:rsidR="00DB168D">
        <w:t xml:space="preserve"> the consultation when it is published</w:t>
      </w:r>
      <w:r w:rsidR="00A34A72">
        <w:t xml:space="preserve"> and feed in their views</w:t>
      </w:r>
      <w:r w:rsidR="00DB168D">
        <w:t xml:space="preserve">. </w:t>
      </w:r>
    </w:p>
    <w:p w14:paraId="433F1F2B" w14:textId="273B47FD" w:rsidR="005A1E08" w:rsidRDefault="005A1E08" w:rsidP="00CE63AD">
      <w:pPr>
        <w:pStyle w:val="Paragraphnumbered"/>
      </w:pPr>
      <w:r>
        <w:t xml:space="preserve">JG </w:t>
      </w:r>
      <w:r w:rsidR="000467B2">
        <w:t>reminded the relevant members of the gr</w:t>
      </w:r>
      <w:r w:rsidR="00D358D4">
        <w:t>oup of the need to provide text</w:t>
      </w:r>
      <w:r w:rsidR="000467B2">
        <w:t xml:space="preserve"> highlight</w:t>
      </w:r>
      <w:r w:rsidR="00D358D4">
        <w:t>ing</w:t>
      </w:r>
      <w:r w:rsidR="000467B2">
        <w:t xml:space="preserve"> issues where agreement could not be reached on the colour coding of particular options</w:t>
      </w:r>
      <w:r w:rsidR="00D358D4">
        <w:t xml:space="preserve"> on the matrices</w:t>
      </w:r>
      <w:r w:rsidR="000467B2">
        <w:t xml:space="preserve">. It was noted that useful comments </w:t>
      </w:r>
      <w:r w:rsidR="00D358D4">
        <w:t xml:space="preserve">on the matrices more generally </w:t>
      </w:r>
      <w:r w:rsidR="000467B2">
        <w:t>have been received from members of the group.</w:t>
      </w:r>
    </w:p>
    <w:p w14:paraId="59BDE272" w14:textId="7AE7FAE5" w:rsidR="0012211A" w:rsidRDefault="0012211A" w:rsidP="00CE63AD">
      <w:pPr>
        <w:pStyle w:val="Paragraphnumbered"/>
      </w:pPr>
      <w:r>
        <w:t>DG updated the group on the outcome of the me</w:t>
      </w:r>
      <w:r w:rsidR="000467B2">
        <w:t>eting on potential RTS issues. There is agreement among</w:t>
      </w:r>
      <w:r>
        <w:t xml:space="preserve"> the group that something needs to be done but </w:t>
      </w:r>
      <w:r w:rsidR="000467B2">
        <w:t xml:space="preserve">there is </w:t>
      </w:r>
      <w:r>
        <w:t>some uncertainty as t</w:t>
      </w:r>
      <w:r w:rsidR="000467B2">
        <w:t>o which forum is the right one to deal with this issue</w:t>
      </w:r>
      <w:r>
        <w:t xml:space="preserve"> –</w:t>
      </w:r>
      <w:r w:rsidR="000467B2">
        <w:t xml:space="preserve"> DG noted that</w:t>
      </w:r>
      <w:r>
        <w:t xml:space="preserve"> WS6</w:t>
      </w:r>
      <w:r w:rsidR="000467B2">
        <w:t xml:space="preserve"> is</w:t>
      </w:r>
      <w:r>
        <w:t xml:space="preserve"> not the appropriate forum. </w:t>
      </w:r>
      <w:r w:rsidR="00CA1417">
        <w:t>Ofgem will seek to progress the topic on various fronts.</w:t>
      </w:r>
      <w:r w:rsidR="00FD1062">
        <w:rPr>
          <w:rStyle w:val="FootnoteReference"/>
        </w:rPr>
        <w:footnoteReference w:id="1"/>
      </w:r>
      <w:r w:rsidR="00CA1417">
        <w:t xml:space="preserve"> </w:t>
      </w:r>
    </w:p>
    <w:tbl>
      <w:tblPr>
        <w:tblStyle w:val="TableProfessional"/>
        <w:tblW w:w="9498" w:type="dxa"/>
        <w:tblLook w:val="01E0" w:firstRow="1" w:lastRow="1" w:firstColumn="1" w:lastColumn="1" w:noHBand="0" w:noVBand="0"/>
      </w:tblPr>
      <w:tblGrid>
        <w:gridCol w:w="7513"/>
        <w:gridCol w:w="1985"/>
      </w:tblGrid>
      <w:tr w:rsidR="00CE63AD" w14:paraId="3F5CBD01" w14:textId="77777777" w:rsidTr="000B7412">
        <w:trPr>
          <w:cnfStyle w:val="100000000000" w:firstRow="1" w:lastRow="0" w:firstColumn="0" w:lastColumn="0" w:oddVBand="0" w:evenVBand="0" w:oddHBand="0" w:evenHBand="0" w:firstRowFirstColumn="0" w:firstRowLastColumn="0" w:lastRowFirstColumn="0" w:lastRowLastColumn="0"/>
        </w:trPr>
        <w:tc>
          <w:tcPr>
            <w:tcW w:w="7513" w:type="dxa"/>
          </w:tcPr>
          <w:p w14:paraId="49A48676" w14:textId="77777777" w:rsidR="00CE63AD" w:rsidRPr="00A15942" w:rsidRDefault="00CE63AD" w:rsidP="00A15942">
            <w:pPr>
              <w:ind w:firstLine="33"/>
              <w:rPr>
                <w:b w:val="0"/>
              </w:rPr>
            </w:pPr>
            <w:r w:rsidRPr="00A15942">
              <w:rPr>
                <w:b w:val="0"/>
              </w:rPr>
              <w:t>Action</w:t>
            </w:r>
          </w:p>
        </w:tc>
        <w:tc>
          <w:tcPr>
            <w:tcW w:w="1985" w:type="dxa"/>
          </w:tcPr>
          <w:p w14:paraId="47C72ED7" w14:textId="77777777" w:rsidR="00CE63AD" w:rsidRPr="00A15942" w:rsidRDefault="00CE63AD" w:rsidP="00A15942">
            <w:pPr>
              <w:ind w:firstLine="33"/>
              <w:rPr>
                <w:b w:val="0"/>
              </w:rPr>
            </w:pPr>
            <w:r w:rsidRPr="00A15942">
              <w:rPr>
                <w:b w:val="0"/>
              </w:rPr>
              <w:t>Person - By</w:t>
            </w:r>
          </w:p>
        </w:tc>
      </w:tr>
      <w:tr w:rsidR="00CE63AD" w14:paraId="522275B9" w14:textId="77777777" w:rsidTr="000B7412">
        <w:tc>
          <w:tcPr>
            <w:tcW w:w="7513" w:type="dxa"/>
          </w:tcPr>
          <w:p w14:paraId="63CBB377" w14:textId="52DAF763" w:rsidR="00CE63AD" w:rsidRDefault="005A1E08" w:rsidP="00A15942">
            <w:pPr>
              <w:ind w:firstLine="33"/>
            </w:pPr>
            <w:r>
              <w:t>Provide text to highlight and explain issues where agreement could not be reached on the matrices</w:t>
            </w:r>
          </w:p>
        </w:tc>
        <w:tc>
          <w:tcPr>
            <w:tcW w:w="1985" w:type="dxa"/>
          </w:tcPr>
          <w:p w14:paraId="18B0CFD9" w14:textId="15785BA9" w:rsidR="00CE63AD" w:rsidRDefault="000467B2" w:rsidP="00A15942">
            <w:pPr>
              <w:ind w:firstLine="33"/>
            </w:pPr>
            <w:r>
              <w:t>Relevant parties – 11 March</w:t>
            </w:r>
          </w:p>
        </w:tc>
      </w:tr>
    </w:tbl>
    <w:p w14:paraId="0F0B1566" w14:textId="77777777" w:rsidR="00F2661F" w:rsidRDefault="00B478CD" w:rsidP="00F2661F">
      <w:pPr>
        <w:pStyle w:val="Heading1"/>
      </w:pPr>
      <w:r>
        <w:t>Agenda Item – Broadening the scope of work</w:t>
      </w:r>
    </w:p>
    <w:p w14:paraId="37409FB4" w14:textId="69F44B64" w:rsidR="00B478CD" w:rsidRDefault="001F381B" w:rsidP="00627316">
      <w:pPr>
        <w:pStyle w:val="Paragraphnumbered"/>
        <w:tabs>
          <w:tab w:val="clear" w:pos="720"/>
          <w:tab w:val="num" w:pos="709"/>
        </w:tabs>
      </w:pPr>
      <w:r>
        <w:t xml:space="preserve">GM presented to the group </w:t>
      </w:r>
      <w:r w:rsidR="00CB2214">
        <w:t>setting out the scope of the cooperation</w:t>
      </w:r>
      <w:r>
        <w:t xml:space="preserve"> between </w:t>
      </w:r>
      <w:r w:rsidR="00627316">
        <w:t xml:space="preserve">Ofgem’s </w:t>
      </w:r>
      <w:r>
        <w:t>Smart Marke</w:t>
      </w:r>
      <w:r w:rsidR="00627316">
        <w:t>ts Programme and Work S</w:t>
      </w:r>
      <w:r w:rsidR="004C6BE6">
        <w:t>tream 6.</w:t>
      </w:r>
    </w:p>
    <w:p w14:paraId="00A44C6D" w14:textId="767F041D" w:rsidR="004C6BE6" w:rsidRDefault="009872BC" w:rsidP="005A5207">
      <w:pPr>
        <w:pStyle w:val="Paragraphnumbered"/>
      </w:pPr>
      <w:r>
        <w:t xml:space="preserve">The </w:t>
      </w:r>
      <w:r w:rsidR="004C6BE6">
        <w:t>Smart</w:t>
      </w:r>
      <w:r>
        <w:t>er</w:t>
      </w:r>
      <w:r w:rsidR="004C6BE6">
        <w:t xml:space="preserve"> Market Programme identified four areas</w:t>
      </w:r>
      <w:r w:rsidR="00FC1B91">
        <w:t xml:space="preserve"> which need to be developed in order to get the most of the smart meter rollout.</w:t>
      </w:r>
      <w:r w:rsidR="004C6BE6">
        <w:t xml:space="preserve"> </w:t>
      </w:r>
      <w:r w:rsidR="00FC1B91">
        <w:t xml:space="preserve">These areas of work were </w:t>
      </w:r>
      <w:r w:rsidR="004C6BE6">
        <w:t xml:space="preserve">supported by the </w:t>
      </w:r>
      <w:r w:rsidR="00FC1B91">
        <w:t>responses to a consultation in April 2013</w:t>
      </w:r>
      <w:r w:rsidR="004C6BE6">
        <w:t>:</w:t>
      </w:r>
    </w:p>
    <w:p w14:paraId="5D5687EE" w14:textId="77777777" w:rsidR="007F5362" w:rsidRDefault="007F5362" w:rsidP="00627316">
      <w:pPr>
        <w:pStyle w:val="NoSpacing"/>
        <w:numPr>
          <w:ilvl w:val="0"/>
          <w:numId w:val="27"/>
        </w:numPr>
      </w:pPr>
      <w:r>
        <w:t xml:space="preserve">Change of Supplier, </w:t>
      </w:r>
    </w:p>
    <w:p w14:paraId="168BC4E0" w14:textId="77777777" w:rsidR="007F5362" w:rsidRDefault="007F5362" w:rsidP="00627316">
      <w:pPr>
        <w:pStyle w:val="NoSpacing"/>
        <w:numPr>
          <w:ilvl w:val="0"/>
          <w:numId w:val="27"/>
        </w:numPr>
      </w:pPr>
      <w:r>
        <w:t xml:space="preserve">Electricity Settlement, </w:t>
      </w:r>
    </w:p>
    <w:p w14:paraId="7A316198" w14:textId="77777777" w:rsidR="007F5362" w:rsidRDefault="007F5362" w:rsidP="00627316">
      <w:pPr>
        <w:pStyle w:val="NoSpacing"/>
        <w:numPr>
          <w:ilvl w:val="0"/>
          <w:numId w:val="27"/>
        </w:numPr>
      </w:pPr>
      <w:r>
        <w:t xml:space="preserve">Demand-Side Response, and </w:t>
      </w:r>
    </w:p>
    <w:p w14:paraId="1FE5E0FF" w14:textId="537A03BF" w:rsidR="007F5362" w:rsidRDefault="007F5362" w:rsidP="00627316">
      <w:pPr>
        <w:pStyle w:val="NoSpacing"/>
        <w:numPr>
          <w:ilvl w:val="0"/>
          <w:numId w:val="27"/>
        </w:numPr>
      </w:pPr>
      <w:r>
        <w:t>Consumer Empowerment and Protection.</w:t>
      </w:r>
    </w:p>
    <w:p w14:paraId="207C87AD" w14:textId="33031C35" w:rsidR="004C6BE6" w:rsidRDefault="00627316" w:rsidP="007F5362">
      <w:pPr>
        <w:pStyle w:val="Paragraphnumbered"/>
      </w:pPr>
      <w:r>
        <w:t>In particular, t</w:t>
      </w:r>
      <w:r w:rsidR="00A17C21">
        <w:t>he need for a DSR framework was strongly supported by the co</w:t>
      </w:r>
      <w:r w:rsidR="00FC1B91">
        <w:t>nsultation respondents</w:t>
      </w:r>
      <w:r w:rsidR="00A17C21">
        <w:t>.</w:t>
      </w:r>
    </w:p>
    <w:p w14:paraId="66BB6DA7" w14:textId="4DF80EA2" w:rsidR="00A17C21" w:rsidRDefault="00627316" w:rsidP="00A17C21">
      <w:pPr>
        <w:pStyle w:val="Paragraphnumbered"/>
      </w:pPr>
      <w:r>
        <w:t>GM noted that the Smarter Markets team, a</w:t>
      </w:r>
      <w:r w:rsidR="00A17C21">
        <w:t>s a starting point</w:t>
      </w:r>
      <w:r>
        <w:t>, will</w:t>
      </w:r>
      <w:r w:rsidR="00A17C21">
        <w:t xml:space="preserve"> </w:t>
      </w:r>
      <w:r>
        <w:t>look</w:t>
      </w:r>
      <w:r w:rsidR="00A17C21">
        <w:t xml:space="preserve"> to understand WS6 work so far – and therefore understand better how </w:t>
      </w:r>
      <w:r w:rsidR="00FC1B91">
        <w:t xml:space="preserve">the </w:t>
      </w:r>
      <w:r w:rsidR="00A17C21">
        <w:t>Smarter Markets Programme and WS6 can work together.</w:t>
      </w:r>
      <w:r>
        <w:t xml:space="preserve"> In this way </w:t>
      </w:r>
      <w:r w:rsidR="00BA027E">
        <w:t xml:space="preserve">the Smarter Markets Programme will </w:t>
      </w:r>
      <w:r w:rsidR="00FC1B91">
        <w:t xml:space="preserve">aim to </w:t>
      </w:r>
      <w:r w:rsidR="00BA027E">
        <w:t xml:space="preserve">incorporate the good work Work Stream 6 </w:t>
      </w:r>
      <w:r w:rsidR="009872BC">
        <w:t xml:space="preserve">has done so far </w:t>
      </w:r>
      <w:r w:rsidR="00BA027E">
        <w:t xml:space="preserve">and avoid reinventing the wheel when </w:t>
      </w:r>
      <w:r w:rsidR="00FC1B91">
        <w:t>developing</w:t>
      </w:r>
      <w:r w:rsidR="00BA027E">
        <w:t xml:space="preserve"> a framework</w:t>
      </w:r>
      <w:r w:rsidR="00FC1B91">
        <w:t xml:space="preserve"> for DSR arrangements</w:t>
      </w:r>
      <w:r w:rsidR="00BA027E">
        <w:t xml:space="preserve">.  </w:t>
      </w:r>
    </w:p>
    <w:p w14:paraId="445C832F" w14:textId="04F7CF9E" w:rsidR="00A17C21" w:rsidRDefault="009E266A" w:rsidP="00A17C21">
      <w:pPr>
        <w:pStyle w:val="Paragraphnumbered"/>
      </w:pPr>
      <w:r>
        <w:t>GM noted that it is not yet clear what the DSR framework will look like, but suggested that it could</w:t>
      </w:r>
      <w:r w:rsidR="00175195">
        <w:t xml:space="preserve"> p</w:t>
      </w:r>
      <w:r w:rsidR="00A17C21" w:rsidRPr="005E6B11">
        <w:t>otential</w:t>
      </w:r>
      <w:r w:rsidR="006F5AAE">
        <w:t>ly</w:t>
      </w:r>
      <w:r w:rsidR="00A17C21" w:rsidRPr="005E6B11">
        <w:t xml:space="preserve"> </w:t>
      </w:r>
      <w:r>
        <w:t>be</w:t>
      </w:r>
      <w:r w:rsidR="00A17C21">
        <w:t xml:space="preserve"> </w:t>
      </w:r>
      <w:r w:rsidR="00175195">
        <w:t xml:space="preserve">a </w:t>
      </w:r>
      <w:r w:rsidR="00A17C21">
        <w:t>single document which clarifies how DSR works – with links to th</w:t>
      </w:r>
      <w:r w:rsidR="00175195">
        <w:t>e relevant codes and agreements.</w:t>
      </w:r>
      <w:r>
        <w:t xml:space="preserve"> The form of the framework will become clearer as work between WS6 and the Smarter Markets Programme progresses. </w:t>
      </w:r>
    </w:p>
    <w:p w14:paraId="0F922C28" w14:textId="266434B5" w:rsidR="00A17C21" w:rsidRDefault="002E1C50" w:rsidP="00A17C21">
      <w:pPr>
        <w:pStyle w:val="Paragraphnumbered"/>
      </w:pPr>
      <w:r>
        <w:t xml:space="preserve">The current aim is to develop a DSR framework for implementation in 2015. </w:t>
      </w:r>
      <w:r w:rsidR="009E266A">
        <w:t>T</w:t>
      </w:r>
      <w:r w:rsidR="00175195">
        <w:t>he s</w:t>
      </w:r>
      <w:r w:rsidR="00A17C21">
        <w:t xml:space="preserve">cope </w:t>
      </w:r>
      <w:r w:rsidR="00175195">
        <w:t xml:space="preserve">and timing </w:t>
      </w:r>
      <w:r w:rsidR="00A17C21">
        <w:t xml:space="preserve">of </w:t>
      </w:r>
      <w:r w:rsidR="00175195">
        <w:t xml:space="preserve">the </w:t>
      </w:r>
      <w:r w:rsidR="00A17C21">
        <w:t>S</w:t>
      </w:r>
      <w:r w:rsidR="00175195">
        <w:t xml:space="preserve">marter </w:t>
      </w:r>
      <w:r w:rsidR="00A17C21">
        <w:t>M</w:t>
      </w:r>
      <w:r w:rsidR="00175195">
        <w:t xml:space="preserve">arkets </w:t>
      </w:r>
      <w:r w:rsidR="00A17C21">
        <w:t>P</w:t>
      </w:r>
      <w:r w:rsidR="00175195">
        <w:t>rogramme’s DSR</w:t>
      </w:r>
      <w:r w:rsidR="00A17C21">
        <w:t xml:space="preserve"> work has been broadly mapped against the timetable and work stages of the W</w:t>
      </w:r>
      <w:r w:rsidR="00175195">
        <w:t xml:space="preserve">ork </w:t>
      </w:r>
      <w:r w:rsidR="00A17C21">
        <w:t>S</w:t>
      </w:r>
      <w:r w:rsidR="00175195">
        <w:t xml:space="preserve">team </w:t>
      </w:r>
      <w:r w:rsidR="009E266A">
        <w:t>6 plan.</w:t>
      </w:r>
      <w:r>
        <w:t xml:space="preserve"> GM noted that this </w:t>
      </w:r>
      <w:r>
        <w:lastRenderedPageBreak/>
        <w:t>timetable could change if necessary to ensure that the DSR framework is properly developed and fit for purpose.</w:t>
      </w:r>
    </w:p>
    <w:p w14:paraId="2AE97D75" w14:textId="5A7EAA13" w:rsidR="006D2B63" w:rsidRDefault="006D2B63" w:rsidP="00A17C21">
      <w:pPr>
        <w:pStyle w:val="Paragraphnumbered"/>
      </w:pPr>
      <w:r>
        <w:t>GM invited questions and comments from the group on the proposed scope and timing of the new project.</w:t>
      </w:r>
    </w:p>
    <w:p w14:paraId="01A1D190" w14:textId="3BAD41C0" w:rsidR="00457E3B" w:rsidRDefault="0084504B" w:rsidP="00457E3B">
      <w:pPr>
        <w:pStyle w:val="Paragraphnumbered"/>
      </w:pPr>
      <w:r>
        <w:t xml:space="preserve">AJ asked to what extent the DSR work will impact/ be impacted by the Significant Code Review of balancing </w:t>
      </w:r>
      <w:r w:rsidR="00B27FBD">
        <w:t xml:space="preserve">and </w:t>
      </w:r>
      <w:r>
        <w:t>settlements</w:t>
      </w:r>
      <w:r w:rsidR="00BD4292">
        <w:t xml:space="preserve"> (EBSCR)</w:t>
      </w:r>
      <w:r>
        <w:t xml:space="preserve">. GM </w:t>
      </w:r>
      <w:r w:rsidR="00BD4292">
        <w:t>commented that the EBSCR would increase the incentives in the market for DSR but that the DSR project would look at how to mak</w:t>
      </w:r>
      <w:r w:rsidR="008E242B">
        <w:t>e the most efficient use of DSR</w:t>
      </w:r>
      <w:r w:rsidR="00457E3B">
        <w:t>.</w:t>
      </w:r>
    </w:p>
    <w:p w14:paraId="32246C31" w14:textId="780CFB2A" w:rsidR="00457E3B" w:rsidRDefault="00457E3B" w:rsidP="00457E3B">
      <w:pPr>
        <w:pStyle w:val="Paragraphnumbered"/>
      </w:pPr>
      <w:r>
        <w:t>JCa asked why DSR specifically had been chosen rather than other forms of flexibility</w:t>
      </w:r>
      <w:r w:rsidR="000562D3">
        <w:t>, such as storage</w:t>
      </w:r>
      <w:r>
        <w:t xml:space="preserve">. GM </w:t>
      </w:r>
      <w:r w:rsidR="00DB58D1">
        <w:t>replied</w:t>
      </w:r>
      <w:r>
        <w:t xml:space="preserve"> that DSR was strongly supported by the consultation responses received by the Smarter Markets Programme</w:t>
      </w:r>
      <w:r w:rsidR="00461A33">
        <w:t xml:space="preserve"> and that many of the issues discussed would be relevant to storage</w:t>
      </w:r>
      <w:r>
        <w:t xml:space="preserve">. </w:t>
      </w:r>
    </w:p>
    <w:p w14:paraId="5BF300EF" w14:textId="3EE19803" w:rsidR="007473E5" w:rsidRDefault="0077241F" w:rsidP="00DB58D1">
      <w:pPr>
        <w:pStyle w:val="Paragraphnumbered"/>
      </w:pPr>
      <w:r>
        <w:t>T</w:t>
      </w:r>
      <w:r w:rsidR="009B5869">
        <w:t>N noted that DSR is not a market</w:t>
      </w:r>
      <w:r>
        <w:t xml:space="preserve"> in itself, but rather that there is a need to understand the value of DSR to differe</w:t>
      </w:r>
      <w:r w:rsidR="00DB58D1">
        <w:t xml:space="preserve">nt players in existing markets. </w:t>
      </w:r>
      <w:r w:rsidR="007473E5">
        <w:t>DG noted that it is understood that arrangements for DSR will evolve</w:t>
      </w:r>
      <w:r w:rsidR="00DB58D1">
        <w:t xml:space="preserve"> and that this will be reflected in the framework.</w:t>
      </w:r>
    </w:p>
    <w:p w14:paraId="5FA0A855" w14:textId="77777777" w:rsidR="005A5207" w:rsidRDefault="00B478CD" w:rsidP="00B478CD">
      <w:pPr>
        <w:pStyle w:val="Heading1"/>
      </w:pPr>
      <w:r>
        <w:t>Agenda Item – Review of roles and responsibilities diagrams</w:t>
      </w:r>
    </w:p>
    <w:p w14:paraId="284579FF" w14:textId="0C65F140" w:rsidR="00D358D4" w:rsidRDefault="00D358D4" w:rsidP="005266C5">
      <w:pPr>
        <w:pStyle w:val="Paragraphnumbered"/>
      </w:pPr>
      <w:r>
        <w:t>Members if the group presented the roles and responsibilities diagrams produced following the actions of the previous meeting.</w:t>
      </w:r>
    </w:p>
    <w:p w14:paraId="4F459AA6" w14:textId="7676E52C" w:rsidR="005266C5" w:rsidRDefault="002F69EE" w:rsidP="005266C5">
      <w:pPr>
        <w:pStyle w:val="Paragraphnumbered"/>
      </w:pPr>
      <w:r>
        <w:t xml:space="preserve">AJ presented on </w:t>
      </w:r>
      <w:r w:rsidR="00832A6F">
        <w:t xml:space="preserve">the </w:t>
      </w:r>
      <w:r w:rsidRPr="00C265D0">
        <w:rPr>
          <w:b/>
        </w:rPr>
        <w:t>supplier-l</w:t>
      </w:r>
      <w:r w:rsidR="002D6B7A" w:rsidRPr="00C265D0">
        <w:rPr>
          <w:b/>
        </w:rPr>
        <w:t>ed load limiter</w:t>
      </w:r>
      <w:r w:rsidR="00832A6F">
        <w:rPr>
          <w:b/>
        </w:rPr>
        <w:t xml:space="preserve"> </w:t>
      </w:r>
      <w:r w:rsidR="00832A6F">
        <w:t>option</w:t>
      </w:r>
      <w:r w:rsidR="00F758AE">
        <w:t>:</w:t>
      </w:r>
    </w:p>
    <w:p w14:paraId="1D54CBAA" w14:textId="3C4A9F42" w:rsidR="002F69EE" w:rsidRDefault="002F69EE" w:rsidP="005266C5">
      <w:pPr>
        <w:pStyle w:val="Paragraphnumbered"/>
        <w:numPr>
          <w:ilvl w:val="2"/>
          <w:numId w:val="1"/>
        </w:numPr>
      </w:pPr>
      <w:r>
        <w:t xml:space="preserve">AJ noted that load limiter tariffs are all possible using basic SMETS functionality. </w:t>
      </w:r>
      <w:r w:rsidR="00F758AE">
        <w:t xml:space="preserve">AJ also noted that this option could not be offered to vulnerable customers or customers without physical access to their smart meter. AJ noted further that the financial incentive to customers would need to be strong to make this tariff attractive. </w:t>
      </w:r>
    </w:p>
    <w:p w14:paraId="7067C42E" w14:textId="5EA6EA2B" w:rsidR="005266C5" w:rsidRDefault="002F69EE" w:rsidP="005266C5">
      <w:pPr>
        <w:pStyle w:val="Paragraphnumbered"/>
      </w:pPr>
      <w:r>
        <w:t xml:space="preserve">AL presented on </w:t>
      </w:r>
      <w:r w:rsidRPr="00C265D0">
        <w:rPr>
          <w:b/>
        </w:rPr>
        <w:t>DNO-</w:t>
      </w:r>
      <w:r w:rsidR="002D6B7A" w:rsidRPr="00C265D0">
        <w:rPr>
          <w:b/>
        </w:rPr>
        <w:t>led dynamic tariff</w:t>
      </w:r>
      <w:r w:rsidR="002D6B7A">
        <w:t xml:space="preserve"> options</w:t>
      </w:r>
      <w:r w:rsidR="007A5423">
        <w:t xml:space="preserve"> </w:t>
      </w:r>
      <w:r w:rsidR="00FF1AF2">
        <w:t>(</w:t>
      </w:r>
      <w:r w:rsidR="009C2F54">
        <w:t>with</w:t>
      </w:r>
      <w:r w:rsidR="00492A0B">
        <w:t xml:space="preserve"> automation</w:t>
      </w:r>
      <w:r w:rsidR="0025701D">
        <w:t xml:space="preserve"> at premises</w:t>
      </w:r>
      <w:r w:rsidR="009C2F54">
        <w:t xml:space="preserve">, without </w:t>
      </w:r>
      <w:r w:rsidR="00DA6682">
        <w:t xml:space="preserve">automation </w:t>
      </w:r>
      <w:r w:rsidR="009C2F54">
        <w:t>and</w:t>
      </w:r>
      <w:r w:rsidR="00FF1AF2">
        <w:t xml:space="preserve"> </w:t>
      </w:r>
      <w:r w:rsidR="00DA6682">
        <w:t xml:space="preserve">with </w:t>
      </w:r>
      <w:r w:rsidR="00FF1AF2">
        <w:t>remote automation</w:t>
      </w:r>
      <w:r w:rsidR="007A5423">
        <w:t>):</w:t>
      </w:r>
    </w:p>
    <w:p w14:paraId="67A64CB0" w14:textId="24801DD2" w:rsidR="005266C5" w:rsidRDefault="007A5423" w:rsidP="00DA6682">
      <w:pPr>
        <w:pStyle w:val="Paragraphnumbered"/>
        <w:numPr>
          <w:ilvl w:val="2"/>
          <w:numId w:val="1"/>
        </w:numPr>
      </w:pPr>
      <w:r>
        <w:t xml:space="preserve">AL noted that remote automation dynamic tariffs </w:t>
      </w:r>
      <w:r w:rsidR="00DA6682">
        <w:t>would require</w:t>
      </w:r>
      <w:r>
        <w:t xml:space="preserve"> the current restriction on DNOs accessing remote appliance control through SMETS to be changed. </w:t>
      </w:r>
    </w:p>
    <w:p w14:paraId="777A9A2D" w14:textId="6204C2ED" w:rsidR="005266C5" w:rsidRDefault="007A5423" w:rsidP="00DA6682">
      <w:pPr>
        <w:pStyle w:val="Paragraphnumbered"/>
        <w:numPr>
          <w:ilvl w:val="2"/>
          <w:numId w:val="1"/>
        </w:numPr>
      </w:pPr>
      <w:r>
        <w:t xml:space="preserve">SB and JW commented that DNOs could opt to install additional communications equipment to unlock this tariff option (or engage third parties </w:t>
      </w:r>
      <w:r w:rsidR="00AF4666">
        <w:t xml:space="preserve">to do this for them). </w:t>
      </w:r>
    </w:p>
    <w:p w14:paraId="06F1674A" w14:textId="44724CDC" w:rsidR="007A5423" w:rsidRDefault="00AF4666" w:rsidP="00DA6682">
      <w:pPr>
        <w:pStyle w:val="Paragraphnumbered"/>
        <w:numPr>
          <w:ilvl w:val="2"/>
          <w:numId w:val="1"/>
        </w:numPr>
      </w:pPr>
      <w:r>
        <w:t xml:space="preserve">DG stated </w:t>
      </w:r>
      <w:r w:rsidR="007A5423">
        <w:t xml:space="preserve">that </w:t>
      </w:r>
      <w:r w:rsidR="00DA6682">
        <w:t xml:space="preserve">means of enabling these tariff options through SMETS/ DCC should be explored first </w:t>
      </w:r>
      <w:r w:rsidR="005266C5">
        <w:t>because customers are already paying for smart meter infrastructure. Any additional communications infrastructure can</w:t>
      </w:r>
      <w:r w:rsidR="00DA6682">
        <w:t xml:space="preserve"> </w:t>
      </w:r>
      <w:r w:rsidR="005266C5">
        <w:t xml:space="preserve">only be justified </w:t>
      </w:r>
      <w:r w:rsidR="00103CDE">
        <w:t xml:space="preserve">if and where it provides better value to the customer than using the DCC (taking into account that the customer has already paid for the DCC). </w:t>
      </w:r>
    </w:p>
    <w:p w14:paraId="4490863C" w14:textId="7755581F" w:rsidR="00E51AF8" w:rsidRDefault="00E51AF8" w:rsidP="00DA6682">
      <w:pPr>
        <w:pStyle w:val="Paragraphnumbered"/>
        <w:numPr>
          <w:ilvl w:val="2"/>
          <w:numId w:val="1"/>
        </w:numPr>
      </w:pPr>
      <w:r>
        <w:t xml:space="preserve">DG also noted that it will be possible </w:t>
      </w:r>
      <w:r w:rsidR="00DA6682">
        <w:t xml:space="preserve">to further </w:t>
      </w:r>
      <w:r w:rsidR="00E217C3">
        <w:t>discuss</w:t>
      </w:r>
      <w:r>
        <w:t xml:space="preserve"> the potential for additional services outside of the DCC</w:t>
      </w:r>
      <w:r w:rsidR="00DA6682" w:rsidRPr="00DA6682">
        <w:t xml:space="preserve"> </w:t>
      </w:r>
      <w:r w:rsidR="00DA6682">
        <w:t>in the future</w:t>
      </w:r>
      <w:r>
        <w:t xml:space="preserve">. </w:t>
      </w:r>
    </w:p>
    <w:p w14:paraId="7211BD83" w14:textId="0D63E503" w:rsidR="004F2317" w:rsidRDefault="002F69EE" w:rsidP="00B478CD">
      <w:pPr>
        <w:pStyle w:val="Paragraphnumbered"/>
      </w:pPr>
      <w:r>
        <w:t xml:space="preserve">TK presented on </w:t>
      </w:r>
      <w:r w:rsidRPr="00C265D0">
        <w:rPr>
          <w:b/>
        </w:rPr>
        <w:t>supplier-</w:t>
      </w:r>
      <w:r w:rsidR="002D6B7A" w:rsidRPr="00C265D0">
        <w:rPr>
          <w:b/>
        </w:rPr>
        <w:t>led static tariff</w:t>
      </w:r>
      <w:r w:rsidR="002D6B7A">
        <w:t xml:space="preserve"> opt</w:t>
      </w:r>
      <w:r w:rsidR="007A5423">
        <w:t>ions</w:t>
      </w:r>
      <w:r w:rsidR="009C2F54">
        <w:t xml:space="preserve"> (</w:t>
      </w:r>
      <w:r w:rsidR="00FF1AF2">
        <w:t xml:space="preserve">without </w:t>
      </w:r>
      <w:r w:rsidR="00395428">
        <w:t xml:space="preserve">automation </w:t>
      </w:r>
      <w:r w:rsidR="009C2F54">
        <w:t xml:space="preserve">and </w:t>
      </w:r>
      <w:r w:rsidR="00395428">
        <w:t xml:space="preserve">with </w:t>
      </w:r>
      <w:r w:rsidR="009C2F54">
        <w:t xml:space="preserve">remote </w:t>
      </w:r>
      <w:r w:rsidR="00FF1AF2">
        <w:t>automation)</w:t>
      </w:r>
      <w:r w:rsidR="0025701D">
        <w:t>.</w:t>
      </w:r>
    </w:p>
    <w:p w14:paraId="1F1416FA" w14:textId="68D02F46" w:rsidR="00492A0B" w:rsidRDefault="004F2317" w:rsidP="00492A0B">
      <w:pPr>
        <w:pStyle w:val="Paragraphnumbered"/>
        <w:numPr>
          <w:ilvl w:val="2"/>
          <w:numId w:val="1"/>
        </w:numPr>
      </w:pPr>
      <w:r>
        <w:t xml:space="preserve">TK noted that DNOs will know </w:t>
      </w:r>
      <w:r w:rsidR="00D01FD8">
        <w:t xml:space="preserve">through settlement data </w:t>
      </w:r>
      <w:r>
        <w:t>the aggregate DSR received by each supplier.</w:t>
      </w:r>
      <w:r w:rsidR="00492A0B">
        <w:t xml:space="preserve"> TK also noted that for options with remote automation, a question remains about whether and how the customer can override the signal. </w:t>
      </w:r>
    </w:p>
    <w:p w14:paraId="7028D069" w14:textId="3AB8CCD4" w:rsidR="00492A0B" w:rsidRDefault="00492A0B" w:rsidP="00492A0B">
      <w:pPr>
        <w:pStyle w:val="Paragraphnumbered"/>
        <w:numPr>
          <w:ilvl w:val="2"/>
          <w:numId w:val="1"/>
        </w:numPr>
      </w:pPr>
      <w:r>
        <w:lastRenderedPageBreak/>
        <w:t xml:space="preserve">A question was raised as to what role the Consumer Access Device (CAD) plays in enabling dynamic tariff options. YF noted that BEAMA has a diagram that shows the interactions </w:t>
      </w:r>
      <w:r w:rsidR="001E6CEE">
        <w:t>of the CAD with appliances and the IHD. This will be circulated to the group.</w:t>
      </w:r>
    </w:p>
    <w:p w14:paraId="73DD26D1" w14:textId="02467941" w:rsidR="008163FF" w:rsidRDefault="008163FF" w:rsidP="00B478CD">
      <w:pPr>
        <w:pStyle w:val="Paragraphnumbered"/>
      </w:pPr>
      <w:r>
        <w:t xml:space="preserve">SA presented on </w:t>
      </w:r>
      <w:r w:rsidR="00832A6F">
        <w:t xml:space="preserve">the </w:t>
      </w:r>
      <w:r w:rsidR="0011790E">
        <w:rPr>
          <w:b/>
        </w:rPr>
        <w:t>critical events tariff</w:t>
      </w:r>
      <w:r w:rsidR="00832A6F">
        <w:t xml:space="preserve"> option</w:t>
      </w:r>
      <w:r w:rsidR="00C872F3">
        <w:t>s (with automation and without automation)</w:t>
      </w:r>
      <w:r w:rsidR="0025701D">
        <w:t>.</w:t>
      </w:r>
    </w:p>
    <w:p w14:paraId="2FB89214" w14:textId="027E7463" w:rsidR="00E71664" w:rsidRDefault="00C73A9D" w:rsidP="00E71664">
      <w:pPr>
        <w:pStyle w:val="Paragraphnumbered"/>
        <w:numPr>
          <w:ilvl w:val="2"/>
          <w:numId w:val="1"/>
        </w:numPr>
      </w:pPr>
      <w:r>
        <w:t xml:space="preserve">SA noted that critical event tariffs </w:t>
      </w:r>
      <w:r w:rsidR="008F17BB">
        <w:t xml:space="preserve">apply to situations where there is a major event on the network. This option could be offered either as a post-fault restoration payment to customer choosing to come back on supply later or as a critical event payment to customers choosing to go off supply to relieve strain on the system </w:t>
      </w:r>
      <w:r w:rsidR="001C7640">
        <w:t>caused by a major fau</w:t>
      </w:r>
      <w:r w:rsidR="00864251">
        <w:t>lt elsewhere.</w:t>
      </w:r>
    </w:p>
    <w:p w14:paraId="48439DDB" w14:textId="0D1D3558" w:rsidR="00864251" w:rsidRDefault="00864251" w:rsidP="00E71664">
      <w:pPr>
        <w:pStyle w:val="Paragraphnumbered"/>
        <w:numPr>
          <w:ilvl w:val="2"/>
          <w:numId w:val="1"/>
        </w:numPr>
      </w:pPr>
      <w:r>
        <w:t>SA noted that DNOs would likely chose to offer this option via suppliers. The DNO would likely not make use of this option on a regular basis, making it inefficient for them to invest in the billing systems that would be needed to offer the tariff directly to customers.</w:t>
      </w:r>
    </w:p>
    <w:p w14:paraId="06270CCD" w14:textId="1D9A2D66" w:rsidR="008163FF" w:rsidRDefault="008163FF" w:rsidP="00B478CD">
      <w:pPr>
        <w:pStyle w:val="Paragraphnumbered"/>
      </w:pPr>
      <w:r>
        <w:t>ZZ</w:t>
      </w:r>
      <w:r w:rsidR="009E266A">
        <w:t xml:space="preserve"> and BS</w:t>
      </w:r>
      <w:r>
        <w:t xml:space="preserve"> presented on</w:t>
      </w:r>
      <w:r w:rsidR="00832A6F">
        <w:t xml:space="preserve"> the</w:t>
      </w:r>
      <w:r>
        <w:t xml:space="preserve"> </w:t>
      </w:r>
      <w:r w:rsidRPr="00C265D0">
        <w:rPr>
          <w:b/>
        </w:rPr>
        <w:t>DG diagrams</w:t>
      </w:r>
      <w:r w:rsidR="0025701D">
        <w:t>.</w:t>
      </w:r>
    </w:p>
    <w:p w14:paraId="0C7F4CAA" w14:textId="5890F71C" w:rsidR="0011790E" w:rsidRPr="00B478CD" w:rsidRDefault="00832A6F" w:rsidP="0011790E">
      <w:pPr>
        <w:pStyle w:val="Paragraphnumbered"/>
        <w:numPr>
          <w:ilvl w:val="2"/>
          <w:numId w:val="1"/>
        </w:numPr>
      </w:pPr>
      <w:r>
        <w:t>It is envisaged</w:t>
      </w:r>
      <w:r w:rsidR="0011790E">
        <w:t xml:space="preserve"> that a DNO will pass a signal to a DG customer to ‘ramp down’ when the network is constrained. In return the DG customer will receive a payment from the DNO.</w:t>
      </w:r>
      <w:r w:rsidR="00F15DC5">
        <w:t xml:space="preserve"> ZZ noted that DG customers often have </w:t>
      </w:r>
      <w:r w:rsidR="008F0192">
        <w:t>power</w:t>
      </w:r>
      <w:r w:rsidR="00F15DC5">
        <w:t xml:space="preserve"> purchase agreements with suppliers, meaning that the DG customer’s response to the DNO’s signal will impact on the suppliers contracted position. AJ noted that the extent of this impact is dependent on the number of suppliers the DG customer has an agreem</w:t>
      </w:r>
      <w:r w:rsidR="0025701D">
        <w:t>ent with. I</w:t>
      </w:r>
      <w:r w:rsidR="00F15DC5">
        <w:t>f the DG customer has an agreement with multiple suppliers the impact of the DSR on</w:t>
      </w:r>
      <w:r w:rsidR="00AF0FA9">
        <w:t xml:space="preserve"> each supplier will be limited.</w:t>
      </w:r>
    </w:p>
    <w:tbl>
      <w:tblPr>
        <w:tblStyle w:val="TableProfessional"/>
        <w:tblW w:w="9498" w:type="dxa"/>
        <w:tblLook w:val="01E0" w:firstRow="1" w:lastRow="1" w:firstColumn="1" w:lastColumn="1" w:noHBand="0" w:noVBand="0"/>
      </w:tblPr>
      <w:tblGrid>
        <w:gridCol w:w="7513"/>
        <w:gridCol w:w="1985"/>
      </w:tblGrid>
      <w:tr w:rsidR="00B478CD" w14:paraId="7B53A634" w14:textId="77777777" w:rsidTr="000B7412">
        <w:trPr>
          <w:cnfStyle w:val="100000000000" w:firstRow="1" w:lastRow="0" w:firstColumn="0" w:lastColumn="0" w:oddVBand="0" w:evenVBand="0" w:oddHBand="0" w:evenHBand="0" w:firstRowFirstColumn="0" w:firstRowLastColumn="0" w:lastRowFirstColumn="0" w:lastRowLastColumn="0"/>
        </w:trPr>
        <w:tc>
          <w:tcPr>
            <w:tcW w:w="7513" w:type="dxa"/>
          </w:tcPr>
          <w:p w14:paraId="48F229DE" w14:textId="77777777" w:rsidR="00B478CD" w:rsidRPr="00A15942" w:rsidRDefault="00B478CD" w:rsidP="00920FC9">
            <w:pPr>
              <w:ind w:firstLine="33"/>
              <w:rPr>
                <w:b w:val="0"/>
              </w:rPr>
            </w:pPr>
            <w:r w:rsidRPr="00A15942">
              <w:rPr>
                <w:b w:val="0"/>
              </w:rPr>
              <w:t>Action</w:t>
            </w:r>
          </w:p>
        </w:tc>
        <w:tc>
          <w:tcPr>
            <w:tcW w:w="1985" w:type="dxa"/>
          </w:tcPr>
          <w:p w14:paraId="0D3D14CD" w14:textId="77777777" w:rsidR="00B478CD" w:rsidRPr="00A15942" w:rsidRDefault="00B478CD" w:rsidP="00920FC9">
            <w:pPr>
              <w:ind w:firstLine="33"/>
              <w:rPr>
                <w:b w:val="0"/>
              </w:rPr>
            </w:pPr>
            <w:r w:rsidRPr="00A15942">
              <w:rPr>
                <w:b w:val="0"/>
              </w:rPr>
              <w:t>Person - By</w:t>
            </w:r>
          </w:p>
        </w:tc>
      </w:tr>
      <w:tr w:rsidR="00615E99" w14:paraId="1F14D273" w14:textId="77777777" w:rsidTr="000B7412">
        <w:tc>
          <w:tcPr>
            <w:tcW w:w="7513" w:type="dxa"/>
          </w:tcPr>
          <w:p w14:paraId="5E2C0453" w14:textId="7CDA41A4" w:rsidR="00615E99" w:rsidRDefault="00615E99" w:rsidP="00EB2CFE">
            <w:r>
              <w:t>Circulate diagram showing interaction of CAD with smart meter infrastructure</w:t>
            </w:r>
          </w:p>
        </w:tc>
        <w:tc>
          <w:tcPr>
            <w:tcW w:w="1985" w:type="dxa"/>
          </w:tcPr>
          <w:p w14:paraId="59AEB9A5" w14:textId="005E4A3D" w:rsidR="00615E99" w:rsidRDefault="00615E99" w:rsidP="00231C27">
            <w:pPr>
              <w:ind w:firstLine="33"/>
            </w:pPr>
            <w:r>
              <w:t xml:space="preserve">YF – </w:t>
            </w:r>
            <w:r w:rsidR="00231C27">
              <w:t>18 March</w:t>
            </w:r>
          </w:p>
        </w:tc>
      </w:tr>
    </w:tbl>
    <w:p w14:paraId="5DA45B1D" w14:textId="77777777" w:rsidR="00B478CD" w:rsidRDefault="00B478CD" w:rsidP="00B478CD">
      <w:pPr>
        <w:pStyle w:val="Heading1"/>
      </w:pPr>
      <w:r>
        <w:t>Agenda Item – Visibility of DSR arrangements and tariffs</w:t>
      </w:r>
      <w:bookmarkStart w:id="0" w:name="_GoBack"/>
      <w:bookmarkEnd w:id="0"/>
    </w:p>
    <w:p w14:paraId="05485323" w14:textId="1ECFE149" w:rsidR="00B478CD" w:rsidRDefault="00F434E3" w:rsidP="00B478CD">
      <w:pPr>
        <w:pStyle w:val="Paragraphnumbered"/>
      </w:pPr>
      <w:r>
        <w:t>MA presented</w:t>
      </w:r>
      <w:r w:rsidR="005A0BEB">
        <w:t xml:space="preserve"> </w:t>
      </w:r>
      <w:r>
        <w:t>to the group on the</w:t>
      </w:r>
      <w:r w:rsidR="00A4400D">
        <w:t xml:space="preserve"> visibility o</w:t>
      </w:r>
      <w:r w:rsidR="005A0BEB">
        <w:t xml:space="preserve">f </w:t>
      </w:r>
      <w:r>
        <w:t>DSR arrangements</w:t>
      </w:r>
      <w:r w:rsidR="007C244F">
        <w:t>.</w:t>
      </w:r>
      <w:r>
        <w:t xml:space="preserve"> The presentation sought to draw out what informatio</w:t>
      </w:r>
      <w:r w:rsidR="00832A6F">
        <w:t xml:space="preserve">n about DSR arrangement would </w:t>
      </w:r>
      <w:r w:rsidR="009B5869">
        <w:t xml:space="preserve">need to be passed </w:t>
      </w:r>
      <w:r w:rsidR="00832A6F">
        <w:t>between those contracting the DSR and other potentially affected parties (in particular the SO).</w:t>
      </w:r>
      <w:r w:rsidRPr="00F434E3">
        <w:t xml:space="preserve"> </w:t>
      </w:r>
      <w:r>
        <w:t xml:space="preserve">MA presented a number of questions </w:t>
      </w:r>
      <w:r w:rsidR="00FB508F">
        <w:t>on this issue</w:t>
      </w:r>
      <w:r>
        <w:t>.</w:t>
      </w:r>
    </w:p>
    <w:p w14:paraId="1B51D064" w14:textId="3EBAE33B" w:rsidR="00D0067B" w:rsidRDefault="00FB508F" w:rsidP="00D0067B">
      <w:pPr>
        <w:pStyle w:val="Paragraphnumbered"/>
      </w:pPr>
      <w:r>
        <w:t>NR</w:t>
      </w:r>
      <w:r w:rsidR="007C244F">
        <w:t xml:space="preserve"> noted that in most cases there would be time to notify relevant parties of DSR arrangements before gate closure</w:t>
      </w:r>
      <w:r w:rsidR="00500884">
        <w:t xml:space="preserve">. Therefore, </w:t>
      </w:r>
      <w:r w:rsidR="009433FA">
        <w:t xml:space="preserve">it would seem that </w:t>
      </w:r>
      <w:r w:rsidR="00500884">
        <w:t>the proposed options for DSR could be incorporated into the existing arrangements for balancing and settlements</w:t>
      </w:r>
      <w:r w:rsidR="007C244F">
        <w:t xml:space="preserve">. The exception to this would be fault scenarios, which cannot be planned or </w:t>
      </w:r>
      <w:r w:rsidR="00247A43">
        <w:t>forecast in ever</w:t>
      </w:r>
      <w:r w:rsidR="00D0067B">
        <w:t xml:space="preserve">y case. </w:t>
      </w:r>
    </w:p>
    <w:p w14:paraId="1C56789C" w14:textId="7BE7B4FC" w:rsidR="00D0067B" w:rsidRPr="00B478CD" w:rsidRDefault="00D0067B" w:rsidP="00D0067B">
      <w:pPr>
        <w:pStyle w:val="Paragraphnumbered"/>
      </w:pPr>
      <w:r>
        <w:t xml:space="preserve">It was agreed that it would be useful to form a sub-group of interested parties, including National Grid and Elexon, which would consider the questions posed </w:t>
      </w:r>
      <w:r w:rsidR="009433FA">
        <w:t xml:space="preserve">in more details </w:t>
      </w:r>
      <w:r>
        <w:t>and report back to the group an</w:t>
      </w:r>
      <w:r w:rsidR="005E6B11">
        <w:t>y</w:t>
      </w:r>
      <w:r>
        <w:t xml:space="preserve"> potential issues for further discussion.</w:t>
      </w:r>
    </w:p>
    <w:tbl>
      <w:tblPr>
        <w:tblStyle w:val="TableProfessional"/>
        <w:tblW w:w="9606" w:type="dxa"/>
        <w:tblLook w:val="01E0" w:firstRow="1" w:lastRow="1" w:firstColumn="1" w:lastColumn="1" w:noHBand="0" w:noVBand="0"/>
      </w:tblPr>
      <w:tblGrid>
        <w:gridCol w:w="7513"/>
        <w:gridCol w:w="2093"/>
      </w:tblGrid>
      <w:tr w:rsidR="00B478CD" w14:paraId="536FC288" w14:textId="77777777" w:rsidTr="00FC27C2">
        <w:trPr>
          <w:cnfStyle w:val="100000000000" w:firstRow="1" w:lastRow="0" w:firstColumn="0" w:lastColumn="0" w:oddVBand="0" w:evenVBand="0" w:oddHBand="0" w:evenHBand="0" w:firstRowFirstColumn="0" w:firstRowLastColumn="0" w:lastRowFirstColumn="0" w:lastRowLastColumn="0"/>
        </w:trPr>
        <w:tc>
          <w:tcPr>
            <w:tcW w:w="7513" w:type="dxa"/>
          </w:tcPr>
          <w:p w14:paraId="42AA12E6" w14:textId="77777777" w:rsidR="00B478CD" w:rsidRPr="00A15942" w:rsidRDefault="00B478CD" w:rsidP="00920FC9">
            <w:pPr>
              <w:ind w:firstLine="33"/>
              <w:rPr>
                <w:b w:val="0"/>
              </w:rPr>
            </w:pPr>
            <w:r w:rsidRPr="00A15942">
              <w:rPr>
                <w:b w:val="0"/>
              </w:rPr>
              <w:t>Action</w:t>
            </w:r>
          </w:p>
        </w:tc>
        <w:tc>
          <w:tcPr>
            <w:tcW w:w="2093" w:type="dxa"/>
          </w:tcPr>
          <w:p w14:paraId="11A3C957" w14:textId="77777777" w:rsidR="00B478CD" w:rsidRPr="00A15942" w:rsidRDefault="00B478CD" w:rsidP="00920FC9">
            <w:pPr>
              <w:ind w:firstLine="33"/>
              <w:rPr>
                <w:b w:val="0"/>
              </w:rPr>
            </w:pPr>
            <w:r w:rsidRPr="00A15942">
              <w:rPr>
                <w:b w:val="0"/>
              </w:rPr>
              <w:t>Person - By</w:t>
            </w:r>
          </w:p>
        </w:tc>
      </w:tr>
      <w:tr w:rsidR="00B478CD" w14:paraId="4E154F3A" w14:textId="77777777" w:rsidTr="00FC27C2">
        <w:tc>
          <w:tcPr>
            <w:tcW w:w="7513" w:type="dxa"/>
          </w:tcPr>
          <w:p w14:paraId="0186B087" w14:textId="673EBCC2" w:rsidR="00B478CD" w:rsidRDefault="002002BF" w:rsidP="00FC27C2">
            <w:r>
              <w:t>Express interest in attending sub-group to provide thoughts/ responses to the questions identified in presentation on visibility of DSR arrangements.</w:t>
            </w:r>
          </w:p>
        </w:tc>
        <w:tc>
          <w:tcPr>
            <w:tcW w:w="2093" w:type="dxa"/>
          </w:tcPr>
          <w:p w14:paraId="272EEBB5" w14:textId="63AEA5E4" w:rsidR="00B478CD" w:rsidRDefault="002002BF" w:rsidP="00920FC9">
            <w:pPr>
              <w:ind w:firstLine="33"/>
            </w:pPr>
            <w:r>
              <w:t>All – 26 February</w:t>
            </w:r>
          </w:p>
        </w:tc>
      </w:tr>
      <w:tr w:rsidR="004104ED" w14:paraId="1E60A93E" w14:textId="77777777" w:rsidTr="00FC27C2">
        <w:tc>
          <w:tcPr>
            <w:tcW w:w="7513" w:type="dxa"/>
          </w:tcPr>
          <w:p w14:paraId="666CA023" w14:textId="5BFA7EDE" w:rsidR="004104ED" w:rsidRDefault="004104ED" w:rsidP="000C1C92">
            <w:r>
              <w:t xml:space="preserve">Prepare </w:t>
            </w:r>
            <w:r w:rsidR="0097096B">
              <w:t>note on the</w:t>
            </w:r>
            <w:r>
              <w:t xml:space="preserve"> impact of DSR options on balancing </w:t>
            </w:r>
            <w:r w:rsidR="00890E4D">
              <w:t xml:space="preserve">and </w:t>
            </w:r>
            <w:r>
              <w:t xml:space="preserve">settlement </w:t>
            </w:r>
            <w:r w:rsidR="0097096B">
              <w:t>to feed into sub-group discussion.</w:t>
            </w:r>
          </w:p>
        </w:tc>
        <w:tc>
          <w:tcPr>
            <w:tcW w:w="2093" w:type="dxa"/>
          </w:tcPr>
          <w:p w14:paraId="70483D32" w14:textId="7C991538" w:rsidR="004104ED" w:rsidRDefault="004104ED" w:rsidP="00920FC9">
            <w:pPr>
              <w:ind w:firstLine="33"/>
            </w:pPr>
            <w:r>
              <w:t>Ofgem</w:t>
            </w:r>
            <w:r w:rsidR="0097096B">
              <w:t xml:space="preserve"> – 3 March</w:t>
            </w:r>
          </w:p>
        </w:tc>
      </w:tr>
    </w:tbl>
    <w:p w14:paraId="228D4C8F" w14:textId="77777777" w:rsidR="00B478CD" w:rsidRDefault="00B478CD" w:rsidP="00B478CD">
      <w:pPr>
        <w:pStyle w:val="Heading1"/>
      </w:pPr>
      <w:r>
        <w:lastRenderedPageBreak/>
        <w:t>Any other business</w:t>
      </w:r>
    </w:p>
    <w:p w14:paraId="320D7B60" w14:textId="1C4DE316" w:rsidR="005A5207" w:rsidRPr="005A5207" w:rsidRDefault="00CC5973" w:rsidP="00673EA6">
      <w:pPr>
        <w:pStyle w:val="Paragraphnumbered"/>
      </w:pPr>
      <w:r>
        <w:t>The group did not raise any</w:t>
      </w:r>
      <w:r w:rsidR="00673EA6">
        <w:t xml:space="preserve"> other business.</w:t>
      </w:r>
    </w:p>
    <w:p w14:paraId="4A42EDBD" w14:textId="77777777" w:rsidR="00F2661F" w:rsidRDefault="00F2661F" w:rsidP="00F2661F">
      <w:pPr>
        <w:pStyle w:val="Heading1"/>
      </w:pPr>
      <w:r>
        <w:t>Date of next meeting</w:t>
      </w:r>
    </w:p>
    <w:p w14:paraId="04A739AA" w14:textId="77777777" w:rsidR="00B478CD" w:rsidRPr="00B478CD" w:rsidRDefault="00B478CD" w:rsidP="00B478CD">
      <w:pPr>
        <w:pStyle w:val="Paragraphnumbered"/>
      </w:pPr>
      <w:r>
        <w:t>14.30 – 17.00 Tuesday 18 March</w:t>
      </w:r>
    </w:p>
    <w:p w14:paraId="1E5BE59C" w14:textId="77777777" w:rsidR="004525F4" w:rsidRPr="00025A21" w:rsidRDefault="004525F4" w:rsidP="00025A21">
      <w:pPr>
        <w:pStyle w:val="Paragraphnumbered"/>
        <w:numPr>
          <w:ilvl w:val="0"/>
          <w:numId w:val="0"/>
        </w:numPr>
      </w:pPr>
    </w:p>
    <w:sectPr w:rsidR="004525F4" w:rsidRPr="00025A21" w:rsidSect="00A97326">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3958" w14:textId="77777777" w:rsidR="008F17BB" w:rsidRDefault="008F17BB" w:rsidP="00BA7019">
      <w:r>
        <w:separator/>
      </w:r>
    </w:p>
  </w:endnote>
  <w:endnote w:type="continuationSeparator" w:id="0">
    <w:p w14:paraId="1E0BA5DF" w14:textId="77777777" w:rsidR="008F17BB" w:rsidRDefault="008F17BB"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6D533" w14:textId="77777777" w:rsidR="008F17BB" w:rsidRDefault="008F17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57315" w14:textId="77777777" w:rsidR="008F17BB" w:rsidRDefault="008F17BB" w:rsidP="00F1440E">
    <w:pPr>
      <w:pStyle w:val="Footer"/>
      <w:jc w:val="right"/>
    </w:pPr>
    <w:r>
      <w:rPr>
        <w:rStyle w:val="PageNumber"/>
      </w:rPr>
      <w:fldChar w:fldCharType="begin"/>
    </w:r>
    <w:r>
      <w:rPr>
        <w:rStyle w:val="PageNumber"/>
      </w:rPr>
      <w:instrText xml:space="preserve"> PAGE </w:instrText>
    </w:r>
    <w:r>
      <w:rPr>
        <w:rStyle w:val="PageNumber"/>
      </w:rPr>
      <w:fldChar w:fldCharType="separate"/>
    </w:r>
    <w:r w:rsidR="008215FA">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215FA">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DE88E" w14:textId="29368586" w:rsidR="008F17BB" w:rsidRPr="009F2347" w:rsidRDefault="00A318A2" w:rsidP="009F2347">
    <w:pPr>
      <w:pStyle w:val="Footer"/>
      <w:tabs>
        <w:tab w:val="clear" w:pos="8306"/>
        <w:tab w:val="right" w:pos="9356"/>
      </w:tabs>
      <w:ind w:right="360"/>
      <w:jc w:val="center"/>
      <w:rPr>
        <w:rStyle w:val="PageNumber"/>
      </w:rPr>
    </w:pPr>
    <w:fldSimple w:instr=" FILENAME   \* MERGEFORMAT ">
      <w:r>
        <w:rPr>
          <w:noProof/>
        </w:rPr>
        <w:t>140218_WS6_minutes</w:t>
      </w:r>
    </w:fldSimple>
    <w:r w:rsidR="008F17BB">
      <w:tab/>
    </w:r>
    <w:r w:rsidR="008F17BB">
      <w:tab/>
    </w:r>
    <w:r w:rsidR="008F17BB">
      <w:rPr>
        <w:rStyle w:val="PageNumber"/>
      </w:rPr>
      <w:fldChar w:fldCharType="begin"/>
    </w:r>
    <w:r w:rsidR="008F17BB">
      <w:rPr>
        <w:rStyle w:val="PageNumber"/>
      </w:rPr>
      <w:instrText xml:space="preserve"> PAGE </w:instrText>
    </w:r>
    <w:r w:rsidR="008F17BB">
      <w:rPr>
        <w:rStyle w:val="PageNumber"/>
      </w:rPr>
      <w:fldChar w:fldCharType="separate"/>
    </w:r>
    <w:r w:rsidR="007259AD">
      <w:rPr>
        <w:rStyle w:val="PageNumber"/>
        <w:noProof/>
      </w:rPr>
      <w:t>1</w:t>
    </w:r>
    <w:r w:rsidR="008F17BB">
      <w:rPr>
        <w:rStyle w:val="PageNumber"/>
      </w:rPr>
      <w:fldChar w:fldCharType="end"/>
    </w:r>
    <w:r w:rsidR="008F17BB">
      <w:rPr>
        <w:rStyle w:val="PageNumber"/>
      </w:rPr>
      <w:t xml:space="preserve"> of </w:t>
    </w:r>
    <w:r w:rsidR="008F17BB">
      <w:rPr>
        <w:rStyle w:val="PageNumber"/>
      </w:rPr>
      <w:fldChar w:fldCharType="begin"/>
    </w:r>
    <w:r w:rsidR="008F17BB">
      <w:rPr>
        <w:rStyle w:val="PageNumber"/>
      </w:rPr>
      <w:instrText xml:space="preserve"> NUMPAGES </w:instrText>
    </w:r>
    <w:r w:rsidR="008F17BB">
      <w:rPr>
        <w:rStyle w:val="PageNumber"/>
      </w:rPr>
      <w:fldChar w:fldCharType="separate"/>
    </w:r>
    <w:r w:rsidR="007259AD">
      <w:rPr>
        <w:rStyle w:val="PageNumber"/>
        <w:noProof/>
      </w:rPr>
      <w:t>5</w:t>
    </w:r>
    <w:r w:rsidR="008F17B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443A6" w14:textId="77777777" w:rsidR="008F17BB" w:rsidRDefault="008F17BB" w:rsidP="00BA7019">
      <w:r>
        <w:separator/>
      </w:r>
    </w:p>
  </w:footnote>
  <w:footnote w:type="continuationSeparator" w:id="0">
    <w:p w14:paraId="12959FE6" w14:textId="77777777" w:rsidR="008F17BB" w:rsidRDefault="008F17BB" w:rsidP="00BA7019">
      <w:r>
        <w:continuationSeparator/>
      </w:r>
    </w:p>
  </w:footnote>
  <w:footnote w:id="1">
    <w:p w14:paraId="30912172" w14:textId="5AC16FD8" w:rsidR="00FD1062" w:rsidRPr="00FD1062" w:rsidRDefault="00FD1062">
      <w:pPr>
        <w:pStyle w:val="FootnoteText"/>
      </w:pPr>
      <w:r>
        <w:rPr>
          <w:rStyle w:val="FootnoteReference"/>
        </w:rPr>
        <w:footnoteRef/>
      </w:r>
      <w:r>
        <w:t xml:space="preserve"> Post-meeting note: A DCUSA group will be formed to address the RTS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28520" w14:textId="77777777" w:rsidR="008F17BB" w:rsidRDefault="008F17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751"/>
      <w:gridCol w:w="684"/>
      <w:gridCol w:w="3079"/>
    </w:tblGrid>
    <w:tr w:rsidR="008F17BB" w14:paraId="669DDEB2" w14:textId="77777777" w:rsidTr="00A15942">
      <w:tc>
        <w:tcPr>
          <w:tcW w:w="5751" w:type="dxa"/>
        </w:tcPr>
        <w:p w14:paraId="7F13C54C" w14:textId="77777777" w:rsidR="008F17BB" w:rsidRPr="00AE5A91" w:rsidRDefault="008F17BB" w:rsidP="00A15942">
          <w:pPr>
            <w:pStyle w:val="Header"/>
            <w:tabs>
              <w:tab w:val="clear" w:pos="4153"/>
              <w:tab w:val="clear" w:pos="8306"/>
            </w:tabs>
          </w:pPr>
          <w:r>
            <w:rPr>
              <w:color w:val="808080"/>
            </w:rPr>
            <w:t>Meeting 21 – Smart Grid Forum Work Stream 6</w:t>
          </w:r>
        </w:p>
      </w:tc>
      <w:tc>
        <w:tcPr>
          <w:tcW w:w="684" w:type="dxa"/>
        </w:tcPr>
        <w:p w14:paraId="3484E980" w14:textId="77777777" w:rsidR="008F17BB" w:rsidRPr="00AE5A91" w:rsidRDefault="008F17BB" w:rsidP="00A15942">
          <w:pPr>
            <w:pStyle w:val="Header"/>
            <w:tabs>
              <w:tab w:val="clear" w:pos="4153"/>
              <w:tab w:val="clear" w:pos="8306"/>
            </w:tabs>
            <w:jc w:val="right"/>
          </w:pPr>
        </w:p>
      </w:tc>
      <w:tc>
        <w:tcPr>
          <w:tcW w:w="3079" w:type="dxa"/>
        </w:tcPr>
        <w:p w14:paraId="69FE94C3" w14:textId="77777777" w:rsidR="008F17BB" w:rsidRDefault="008F17BB" w:rsidP="00A15942">
          <w:pPr>
            <w:pStyle w:val="Header"/>
            <w:tabs>
              <w:tab w:val="clear" w:pos="4153"/>
              <w:tab w:val="clear" w:pos="8306"/>
            </w:tabs>
            <w:jc w:val="right"/>
          </w:pPr>
          <w:r>
            <w:t>Minutes</w:t>
          </w:r>
        </w:p>
      </w:tc>
    </w:tr>
  </w:tbl>
  <w:p w14:paraId="5175350B" w14:textId="77777777" w:rsidR="008F17BB" w:rsidRPr="004525F4" w:rsidRDefault="008F17BB" w:rsidP="00452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1" w:type="dxa"/>
      <w:tblLook w:val="01E0" w:firstRow="1" w:lastRow="1" w:firstColumn="1" w:lastColumn="1" w:noHBand="0" w:noVBand="0"/>
    </w:tblPr>
    <w:tblGrid>
      <w:gridCol w:w="2673"/>
      <w:gridCol w:w="7011"/>
    </w:tblGrid>
    <w:tr w:rsidR="008F17BB" w:rsidRPr="00A15942" w14:paraId="777FEE81" w14:textId="77777777" w:rsidTr="00A15942">
      <w:tc>
        <w:tcPr>
          <w:tcW w:w="2673" w:type="dxa"/>
          <w:vAlign w:val="center"/>
        </w:tcPr>
        <w:p w14:paraId="0EAFC274" w14:textId="77777777" w:rsidR="008F17BB" w:rsidRPr="00A15942" w:rsidRDefault="008F17BB" w:rsidP="009F5119">
          <w:pPr>
            <w:pStyle w:val="Header"/>
            <w:rPr>
              <w:sz w:val="52"/>
              <w:szCs w:val="52"/>
            </w:rPr>
          </w:pPr>
          <w:r>
            <w:rPr>
              <w:noProof/>
            </w:rPr>
            <w:drawing>
              <wp:inline distT="0" distB="0" distL="0" distR="0" wp14:anchorId="01726F73" wp14:editId="1E2A31D9">
                <wp:extent cx="1182657" cy="468000"/>
                <wp:effectExtent l="19050" t="0" r="0" b="0"/>
                <wp:docPr id="1" name="Picture 1"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logob&amp;w2"/>
                        <pic:cNvPicPr>
                          <a:picLocks noChangeAspect="1" noChangeArrowheads="1"/>
                        </pic:cNvPicPr>
                      </pic:nvPicPr>
                      <pic:blipFill>
                        <a:blip r:embed="rId1"/>
                        <a:stretch>
                          <a:fillRect/>
                        </a:stretch>
                      </pic:blipFill>
                      <pic:spPr bwMode="auto">
                        <a:xfrm>
                          <a:off x="0" y="0"/>
                          <a:ext cx="1182657" cy="468000"/>
                        </a:xfrm>
                        <a:prstGeom prst="rect">
                          <a:avLst/>
                        </a:prstGeom>
                        <a:noFill/>
                        <a:ln w="9525">
                          <a:noFill/>
                          <a:miter lim="800000"/>
                          <a:headEnd/>
                          <a:tailEnd/>
                        </a:ln>
                      </pic:spPr>
                    </pic:pic>
                  </a:graphicData>
                </a:graphic>
              </wp:inline>
            </w:drawing>
          </w:r>
        </w:p>
      </w:tc>
      <w:tc>
        <w:tcPr>
          <w:tcW w:w="7011" w:type="dxa"/>
          <w:vAlign w:val="center"/>
        </w:tcPr>
        <w:p w14:paraId="07C3A43A" w14:textId="77777777" w:rsidR="008F17BB" w:rsidRPr="00A15942" w:rsidRDefault="008F17BB" w:rsidP="00A15942">
          <w:pPr>
            <w:pStyle w:val="Header"/>
            <w:jc w:val="right"/>
            <w:rPr>
              <w:sz w:val="52"/>
              <w:szCs w:val="52"/>
            </w:rPr>
          </w:pPr>
          <w:r w:rsidRPr="00A15942">
            <w:rPr>
              <w:sz w:val="52"/>
              <w:szCs w:val="52"/>
            </w:rPr>
            <w:t>Minutes</w:t>
          </w:r>
        </w:p>
      </w:tc>
    </w:tr>
  </w:tbl>
  <w:p w14:paraId="01EDB5DD" w14:textId="77777777" w:rsidR="008F17BB" w:rsidRDefault="008F17BB" w:rsidP="00641F10">
    <w:pPr>
      <w:pStyle w:val="Header"/>
      <w:ind w:left="-171"/>
      <w:rPr>
        <w:sz w:val="16"/>
        <w:szCs w:val="16"/>
      </w:rPr>
    </w:pPr>
  </w:p>
  <w:p w14:paraId="1766A173" w14:textId="77777777" w:rsidR="008F17BB" w:rsidRPr="00920D51" w:rsidRDefault="008F17BB" w:rsidP="00641F10">
    <w:pPr>
      <w:pStyle w:val="Header"/>
      <w:ind w:left="-171"/>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4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D619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FF085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BAC31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D00E2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4AA83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E2E4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0E3A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30AB50"/>
    <w:lvl w:ilvl="0">
      <w:start w:val="1"/>
      <w:numFmt w:val="decimal"/>
      <w:pStyle w:val="ListNumber"/>
      <w:lvlText w:val="%1."/>
      <w:lvlJc w:val="left"/>
      <w:pPr>
        <w:tabs>
          <w:tab w:val="num" w:pos="360"/>
        </w:tabs>
        <w:ind w:left="360" w:hanging="360"/>
      </w:pPr>
    </w:lvl>
  </w:abstractNum>
  <w:abstractNum w:abstractNumId="9">
    <w:nsid w:val="FFFFFF89"/>
    <w:multiLevelType w:val="singleLevel"/>
    <w:tmpl w:val="CC5A28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862"/>
        </w:tabs>
        <w:ind w:left="574"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8827DC"/>
    <w:multiLevelType w:val="multilevel"/>
    <w:tmpl w:val="965C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B236C62"/>
    <w:multiLevelType w:val="hybridMultilevel"/>
    <w:tmpl w:val="860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2F7AAE"/>
    <w:multiLevelType w:val="multilevel"/>
    <w:tmpl w:val="965C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4D474F95"/>
    <w:multiLevelType w:val="multilevel"/>
    <w:tmpl w:val="965C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3644D7F"/>
    <w:multiLevelType w:val="hybridMultilevel"/>
    <w:tmpl w:val="91F4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104A29"/>
    <w:multiLevelType w:val="multilevel"/>
    <w:tmpl w:val="965C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11"/>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 w:numId="16">
    <w:abstractNumId w:val="18"/>
  </w:num>
  <w:num w:numId="17">
    <w:abstractNumId w:val="19"/>
  </w:num>
  <w:num w:numId="18">
    <w:abstractNumId w:val="22"/>
  </w:num>
  <w:num w:numId="19">
    <w:abstractNumId w:val="13"/>
  </w:num>
  <w:num w:numId="20">
    <w:abstractNumId w:val="17"/>
  </w:num>
  <w:num w:numId="21">
    <w:abstractNumId w:val="16"/>
  </w:num>
  <w:num w:numId="22">
    <w:abstractNumId w:val="15"/>
  </w:num>
  <w:num w:numId="23">
    <w:abstractNumId w:val="11"/>
  </w:num>
  <w:num w:numId="24">
    <w:abstractNumId w:val="11"/>
  </w:num>
  <w:num w:numId="25">
    <w:abstractNumId w:val="11"/>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F3"/>
    <w:rsid w:val="00001B0F"/>
    <w:rsid w:val="0000372C"/>
    <w:rsid w:val="000139E3"/>
    <w:rsid w:val="00021906"/>
    <w:rsid w:val="00023381"/>
    <w:rsid w:val="00025A21"/>
    <w:rsid w:val="00033220"/>
    <w:rsid w:val="000354B8"/>
    <w:rsid w:val="00035612"/>
    <w:rsid w:val="000467B2"/>
    <w:rsid w:val="000562D3"/>
    <w:rsid w:val="00056C1A"/>
    <w:rsid w:val="00061711"/>
    <w:rsid w:val="00072BB2"/>
    <w:rsid w:val="00074976"/>
    <w:rsid w:val="0009389A"/>
    <w:rsid w:val="000A404C"/>
    <w:rsid w:val="000B7412"/>
    <w:rsid w:val="000B7578"/>
    <w:rsid w:val="000C1C92"/>
    <w:rsid w:val="000C628A"/>
    <w:rsid w:val="000C6C47"/>
    <w:rsid w:val="000D1154"/>
    <w:rsid w:val="000E174A"/>
    <w:rsid w:val="000E7F6B"/>
    <w:rsid w:val="000F0E42"/>
    <w:rsid w:val="00103CDE"/>
    <w:rsid w:val="00112B62"/>
    <w:rsid w:val="00115DC2"/>
    <w:rsid w:val="0011790E"/>
    <w:rsid w:val="0012211A"/>
    <w:rsid w:val="00130E03"/>
    <w:rsid w:val="001372D9"/>
    <w:rsid w:val="001730FB"/>
    <w:rsid w:val="001741C5"/>
    <w:rsid w:val="00175195"/>
    <w:rsid w:val="00184CA3"/>
    <w:rsid w:val="00184ECF"/>
    <w:rsid w:val="00196399"/>
    <w:rsid w:val="001B4199"/>
    <w:rsid w:val="001B494A"/>
    <w:rsid w:val="001C1B6C"/>
    <w:rsid w:val="001C34DA"/>
    <w:rsid w:val="001C7640"/>
    <w:rsid w:val="001D5568"/>
    <w:rsid w:val="001E6CEE"/>
    <w:rsid w:val="001E7913"/>
    <w:rsid w:val="001F381B"/>
    <w:rsid w:val="002002BF"/>
    <w:rsid w:val="00202151"/>
    <w:rsid w:val="00211D2E"/>
    <w:rsid w:val="00221F37"/>
    <w:rsid w:val="00231C27"/>
    <w:rsid w:val="00233E2C"/>
    <w:rsid w:val="00235884"/>
    <w:rsid w:val="00246197"/>
    <w:rsid w:val="00247A43"/>
    <w:rsid w:val="00255EAA"/>
    <w:rsid w:val="0025701D"/>
    <w:rsid w:val="0025774B"/>
    <w:rsid w:val="00261E55"/>
    <w:rsid w:val="00265241"/>
    <w:rsid w:val="00273DC3"/>
    <w:rsid w:val="002747BA"/>
    <w:rsid w:val="002B1E60"/>
    <w:rsid w:val="002C1AF7"/>
    <w:rsid w:val="002D6B7A"/>
    <w:rsid w:val="002D77F4"/>
    <w:rsid w:val="002E1C50"/>
    <w:rsid w:val="002F69EE"/>
    <w:rsid w:val="002F7F64"/>
    <w:rsid w:val="00312F3D"/>
    <w:rsid w:val="00327152"/>
    <w:rsid w:val="003451F0"/>
    <w:rsid w:val="00361B01"/>
    <w:rsid w:val="00365235"/>
    <w:rsid w:val="00370DFA"/>
    <w:rsid w:val="00373566"/>
    <w:rsid w:val="00377A08"/>
    <w:rsid w:val="00395428"/>
    <w:rsid w:val="003A20D7"/>
    <w:rsid w:val="003B3B03"/>
    <w:rsid w:val="003B7401"/>
    <w:rsid w:val="003C7A3C"/>
    <w:rsid w:val="003D045F"/>
    <w:rsid w:val="003D4D62"/>
    <w:rsid w:val="003E4C21"/>
    <w:rsid w:val="003E5AAB"/>
    <w:rsid w:val="003F0E6E"/>
    <w:rsid w:val="003F166B"/>
    <w:rsid w:val="004104ED"/>
    <w:rsid w:val="0045237C"/>
    <w:rsid w:val="004525F4"/>
    <w:rsid w:val="004526D0"/>
    <w:rsid w:val="00457E3B"/>
    <w:rsid w:val="0046051B"/>
    <w:rsid w:val="00461A33"/>
    <w:rsid w:val="004624D5"/>
    <w:rsid w:val="00466A76"/>
    <w:rsid w:val="00466C62"/>
    <w:rsid w:val="004745D1"/>
    <w:rsid w:val="00492A0B"/>
    <w:rsid w:val="004A6B2A"/>
    <w:rsid w:val="004C329A"/>
    <w:rsid w:val="004C5414"/>
    <w:rsid w:val="004C6BE6"/>
    <w:rsid w:val="004D562C"/>
    <w:rsid w:val="004E1CF5"/>
    <w:rsid w:val="004E2D27"/>
    <w:rsid w:val="004F2317"/>
    <w:rsid w:val="004F5422"/>
    <w:rsid w:val="00500884"/>
    <w:rsid w:val="0050214A"/>
    <w:rsid w:val="00505A02"/>
    <w:rsid w:val="00524469"/>
    <w:rsid w:val="005266C5"/>
    <w:rsid w:val="005311A7"/>
    <w:rsid w:val="0054097A"/>
    <w:rsid w:val="00540C21"/>
    <w:rsid w:val="0054294C"/>
    <w:rsid w:val="00546702"/>
    <w:rsid w:val="00556B94"/>
    <w:rsid w:val="00562601"/>
    <w:rsid w:val="00563E05"/>
    <w:rsid w:val="005900A2"/>
    <w:rsid w:val="005A0BEB"/>
    <w:rsid w:val="005A1E08"/>
    <w:rsid w:val="005A5207"/>
    <w:rsid w:val="005B6786"/>
    <w:rsid w:val="005B7D18"/>
    <w:rsid w:val="005C2214"/>
    <w:rsid w:val="005D1790"/>
    <w:rsid w:val="005E0C1F"/>
    <w:rsid w:val="005E108D"/>
    <w:rsid w:val="005E1657"/>
    <w:rsid w:val="005E59D1"/>
    <w:rsid w:val="005E6B11"/>
    <w:rsid w:val="005F2345"/>
    <w:rsid w:val="0060001B"/>
    <w:rsid w:val="00615E99"/>
    <w:rsid w:val="00627316"/>
    <w:rsid w:val="00636D7D"/>
    <w:rsid w:val="00641F10"/>
    <w:rsid w:val="006445F8"/>
    <w:rsid w:val="00646AA8"/>
    <w:rsid w:val="00673EA6"/>
    <w:rsid w:val="00676EF0"/>
    <w:rsid w:val="0069599B"/>
    <w:rsid w:val="006C5386"/>
    <w:rsid w:val="006C6561"/>
    <w:rsid w:val="006D2B63"/>
    <w:rsid w:val="006D498F"/>
    <w:rsid w:val="006F5AAE"/>
    <w:rsid w:val="00707E31"/>
    <w:rsid w:val="00711EC2"/>
    <w:rsid w:val="007259AD"/>
    <w:rsid w:val="00741FEB"/>
    <w:rsid w:val="007473E5"/>
    <w:rsid w:val="00751427"/>
    <w:rsid w:val="0075387B"/>
    <w:rsid w:val="007669D8"/>
    <w:rsid w:val="0077241F"/>
    <w:rsid w:val="00784A1B"/>
    <w:rsid w:val="007958EF"/>
    <w:rsid w:val="007A5423"/>
    <w:rsid w:val="007A6A21"/>
    <w:rsid w:val="007B0EB8"/>
    <w:rsid w:val="007B457D"/>
    <w:rsid w:val="007B52A4"/>
    <w:rsid w:val="007C244F"/>
    <w:rsid w:val="007D2D9F"/>
    <w:rsid w:val="007E1074"/>
    <w:rsid w:val="007E3A17"/>
    <w:rsid w:val="007E44F3"/>
    <w:rsid w:val="007F13C0"/>
    <w:rsid w:val="007F5362"/>
    <w:rsid w:val="007F6D1D"/>
    <w:rsid w:val="00812AD9"/>
    <w:rsid w:val="00812C0E"/>
    <w:rsid w:val="008163FF"/>
    <w:rsid w:val="008215FA"/>
    <w:rsid w:val="0082673C"/>
    <w:rsid w:val="00832A6F"/>
    <w:rsid w:val="00843516"/>
    <w:rsid w:val="0084504B"/>
    <w:rsid w:val="0085605F"/>
    <w:rsid w:val="008614BC"/>
    <w:rsid w:val="00864251"/>
    <w:rsid w:val="00865426"/>
    <w:rsid w:val="008676C2"/>
    <w:rsid w:val="00870C77"/>
    <w:rsid w:val="00872820"/>
    <w:rsid w:val="00872CFC"/>
    <w:rsid w:val="00874A5A"/>
    <w:rsid w:val="00874F46"/>
    <w:rsid w:val="00890E4D"/>
    <w:rsid w:val="008A256F"/>
    <w:rsid w:val="008A2595"/>
    <w:rsid w:val="008A5377"/>
    <w:rsid w:val="008B0AED"/>
    <w:rsid w:val="008B39EE"/>
    <w:rsid w:val="008B5E9E"/>
    <w:rsid w:val="008E242B"/>
    <w:rsid w:val="008F0192"/>
    <w:rsid w:val="008F17BB"/>
    <w:rsid w:val="008F4528"/>
    <w:rsid w:val="0090224A"/>
    <w:rsid w:val="0090683E"/>
    <w:rsid w:val="009131C6"/>
    <w:rsid w:val="00920D51"/>
    <w:rsid w:val="00920FC9"/>
    <w:rsid w:val="00922F2D"/>
    <w:rsid w:val="00940C39"/>
    <w:rsid w:val="009433FA"/>
    <w:rsid w:val="009566D2"/>
    <w:rsid w:val="00957B4B"/>
    <w:rsid w:val="00961235"/>
    <w:rsid w:val="00964515"/>
    <w:rsid w:val="0096775C"/>
    <w:rsid w:val="0097096B"/>
    <w:rsid w:val="00974876"/>
    <w:rsid w:val="00977F1E"/>
    <w:rsid w:val="009872BC"/>
    <w:rsid w:val="00993122"/>
    <w:rsid w:val="009A43C2"/>
    <w:rsid w:val="009A6232"/>
    <w:rsid w:val="009B21E3"/>
    <w:rsid w:val="009B5869"/>
    <w:rsid w:val="009C2F54"/>
    <w:rsid w:val="009D075C"/>
    <w:rsid w:val="009D2271"/>
    <w:rsid w:val="009D5115"/>
    <w:rsid w:val="009E266A"/>
    <w:rsid w:val="009E2E84"/>
    <w:rsid w:val="009F2347"/>
    <w:rsid w:val="009F4842"/>
    <w:rsid w:val="009F5119"/>
    <w:rsid w:val="00A15942"/>
    <w:rsid w:val="00A1605E"/>
    <w:rsid w:val="00A17C21"/>
    <w:rsid w:val="00A20034"/>
    <w:rsid w:val="00A22C7A"/>
    <w:rsid w:val="00A25A93"/>
    <w:rsid w:val="00A318A2"/>
    <w:rsid w:val="00A33ECC"/>
    <w:rsid w:val="00A34A72"/>
    <w:rsid w:val="00A4400D"/>
    <w:rsid w:val="00A44C71"/>
    <w:rsid w:val="00A46B41"/>
    <w:rsid w:val="00A54503"/>
    <w:rsid w:val="00A65347"/>
    <w:rsid w:val="00A742D0"/>
    <w:rsid w:val="00A74748"/>
    <w:rsid w:val="00A93A55"/>
    <w:rsid w:val="00A97326"/>
    <w:rsid w:val="00A974BD"/>
    <w:rsid w:val="00AA4DCD"/>
    <w:rsid w:val="00AB586E"/>
    <w:rsid w:val="00AB7635"/>
    <w:rsid w:val="00AC0228"/>
    <w:rsid w:val="00AC4047"/>
    <w:rsid w:val="00AD622C"/>
    <w:rsid w:val="00AF0FA9"/>
    <w:rsid w:val="00AF4666"/>
    <w:rsid w:val="00B27FBD"/>
    <w:rsid w:val="00B334E1"/>
    <w:rsid w:val="00B351BD"/>
    <w:rsid w:val="00B46A2C"/>
    <w:rsid w:val="00B478CD"/>
    <w:rsid w:val="00B64F5B"/>
    <w:rsid w:val="00B6595A"/>
    <w:rsid w:val="00B6681D"/>
    <w:rsid w:val="00B70B7B"/>
    <w:rsid w:val="00B72918"/>
    <w:rsid w:val="00B74EFA"/>
    <w:rsid w:val="00B92D4E"/>
    <w:rsid w:val="00BA027E"/>
    <w:rsid w:val="00BA5FD4"/>
    <w:rsid w:val="00BA7019"/>
    <w:rsid w:val="00BB50B2"/>
    <w:rsid w:val="00BC7648"/>
    <w:rsid w:val="00BD14D2"/>
    <w:rsid w:val="00BD4292"/>
    <w:rsid w:val="00BD543A"/>
    <w:rsid w:val="00BE0237"/>
    <w:rsid w:val="00BE05C2"/>
    <w:rsid w:val="00BE0A33"/>
    <w:rsid w:val="00BE1513"/>
    <w:rsid w:val="00BE1B50"/>
    <w:rsid w:val="00BE271A"/>
    <w:rsid w:val="00C02942"/>
    <w:rsid w:val="00C050C8"/>
    <w:rsid w:val="00C05A7B"/>
    <w:rsid w:val="00C2155D"/>
    <w:rsid w:val="00C265D0"/>
    <w:rsid w:val="00C268A1"/>
    <w:rsid w:val="00C37EC2"/>
    <w:rsid w:val="00C527D8"/>
    <w:rsid w:val="00C531F7"/>
    <w:rsid w:val="00C547ED"/>
    <w:rsid w:val="00C5755D"/>
    <w:rsid w:val="00C652F7"/>
    <w:rsid w:val="00C73A9D"/>
    <w:rsid w:val="00C872F3"/>
    <w:rsid w:val="00C97DA6"/>
    <w:rsid w:val="00CA1417"/>
    <w:rsid w:val="00CB2214"/>
    <w:rsid w:val="00CB49B0"/>
    <w:rsid w:val="00CC1636"/>
    <w:rsid w:val="00CC56B0"/>
    <w:rsid w:val="00CC5973"/>
    <w:rsid w:val="00CE3072"/>
    <w:rsid w:val="00CE63AD"/>
    <w:rsid w:val="00D00430"/>
    <w:rsid w:val="00D0067B"/>
    <w:rsid w:val="00D011B2"/>
    <w:rsid w:val="00D01FD8"/>
    <w:rsid w:val="00D04654"/>
    <w:rsid w:val="00D12DB0"/>
    <w:rsid w:val="00D12FF0"/>
    <w:rsid w:val="00D13CA0"/>
    <w:rsid w:val="00D2240A"/>
    <w:rsid w:val="00D2405D"/>
    <w:rsid w:val="00D25910"/>
    <w:rsid w:val="00D32307"/>
    <w:rsid w:val="00D358D4"/>
    <w:rsid w:val="00D414FD"/>
    <w:rsid w:val="00D5281C"/>
    <w:rsid w:val="00D571B7"/>
    <w:rsid w:val="00D6289E"/>
    <w:rsid w:val="00D67D24"/>
    <w:rsid w:val="00DA5E7D"/>
    <w:rsid w:val="00DA6682"/>
    <w:rsid w:val="00DA69E7"/>
    <w:rsid w:val="00DA6BE9"/>
    <w:rsid w:val="00DB168D"/>
    <w:rsid w:val="00DB58D1"/>
    <w:rsid w:val="00DC2751"/>
    <w:rsid w:val="00DC2F00"/>
    <w:rsid w:val="00DF0F11"/>
    <w:rsid w:val="00E03775"/>
    <w:rsid w:val="00E04EAF"/>
    <w:rsid w:val="00E14AA5"/>
    <w:rsid w:val="00E20B96"/>
    <w:rsid w:val="00E217C3"/>
    <w:rsid w:val="00E34B2C"/>
    <w:rsid w:val="00E447E9"/>
    <w:rsid w:val="00E51AF8"/>
    <w:rsid w:val="00E57739"/>
    <w:rsid w:val="00E71664"/>
    <w:rsid w:val="00E779BB"/>
    <w:rsid w:val="00E9736C"/>
    <w:rsid w:val="00EA7BD2"/>
    <w:rsid w:val="00EB0C40"/>
    <w:rsid w:val="00EB1C29"/>
    <w:rsid w:val="00EB2CFE"/>
    <w:rsid w:val="00EB39DF"/>
    <w:rsid w:val="00EC7FD2"/>
    <w:rsid w:val="00F06EF2"/>
    <w:rsid w:val="00F1440E"/>
    <w:rsid w:val="00F15304"/>
    <w:rsid w:val="00F15DC5"/>
    <w:rsid w:val="00F2661F"/>
    <w:rsid w:val="00F431E3"/>
    <w:rsid w:val="00F434E3"/>
    <w:rsid w:val="00F676F0"/>
    <w:rsid w:val="00F70BF0"/>
    <w:rsid w:val="00F733D3"/>
    <w:rsid w:val="00F758AE"/>
    <w:rsid w:val="00F80D67"/>
    <w:rsid w:val="00F827F9"/>
    <w:rsid w:val="00F85755"/>
    <w:rsid w:val="00F93B79"/>
    <w:rsid w:val="00FB508F"/>
    <w:rsid w:val="00FC1B91"/>
    <w:rsid w:val="00FC27C2"/>
    <w:rsid w:val="00FC4DFC"/>
    <w:rsid w:val="00FD1062"/>
    <w:rsid w:val="00FF1AF2"/>
    <w:rsid w:val="00FF3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2F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tabs>
        <w:tab w:val="clear" w:pos="862"/>
        <w:tab w:val="num" w:pos="720"/>
      </w:tabs>
      <w:ind w:left="432"/>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table" w:styleId="TableSimple3">
    <w:name w:val="Table Simple 3"/>
    <w:basedOn w:val="TableNormal"/>
    <w:rsid w:val="0012211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0B74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7F5362"/>
    <w:rPr>
      <w:rFonts w:ascii="Verdana" w:hAnsi="Verdana"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tabs>
        <w:tab w:val="clear" w:pos="862"/>
        <w:tab w:val="num" w:pos="720"/>
      </w:tabs>
      <w:ind w:left="432"/>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table" w:styleId="TableSimple3">
    <w:name w:val="Table Simple 3"/>
    <w:basedOn w:val="TableNormal"/>
    <w:rsid w:val="0012211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0B74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7F5362"/>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Minutes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lassification xmlns="eecedeb9-13b3-4e62-b003-046c92e1668a">Unclassified</Classification>
    <_Status xmlns="http://schemas.microsoft.com/sharepoint/v3/fields">Draft</_Status>
    <Recipient xmlns="eecedeb9-13b3-4e62-b003-046c92e1668a">Ofgem</Recipient>
    <Meeting_x0020_Date xmlns="eecedeb9-13b3-4e62-b003-046c92e1668a">2013-06-12T15:34:13+00:00</Meeting_x0020_Date>
    <Organisation xmlns="eecedeb9-13b3-4e62-b003-046c92e1668a">Choose an Organisation</Organisation>
    <Descriptor xmlns="eecedeb9-13b3-4e62-b003-046c92e166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nutes" ma:contentTypeID="0x0101004E26499DBA136E4999D1014CC64F75F70019BE78A5FBD7614CB96B0863FEEC4035" ma:contentTypeVersion="28" ma:contentTypeDescription="This should be used for creating internal minutes" ma:contentTypeScope="" ma:versionID="ef7b7658ec3b32d52485bce7f866ba57">
  <xsd:schema xmlns:xsd="http://www.w3.org/2001/XMLSchema" xmlns:p="http://schemas.microsoft.com/office/2006/metadata/properties" xmlns:ns2="http://schemas.microsoft.com/sharepoint/v3/fields" xmlns:ns3="eecedeb9-13b3-4e62-b003-046c92e1668a" targetNamespace="http://schemas.microsoft.com/office/2006/metadata/properties" ma:root="true" ma:fieldsID="31b285fecfdf9972e23c4f6ff218a620" ns2:_="" ns3:_="">
    <xsd:import namespace="http://schemas.microsoft.com/sharepoint/v3/fields"/>
    <xsd:import namespace="eecedeb9-13b3-4e62-b003-046c92e1668a"/>
    <xsd:element name="properties">
      <xsd:complexType>
        <xsd:sequence>
          <xsd:element name="documentManagement">
            <xsd:complexType>
              <xsd:all>
                <xsd:element ref="ns3:Recipient" minOccurs="0"/>
                <xsd:element ref="ns3:Organisation" minOccurs="0"/>
                <xsd:element ref="ns3:Meeting_x0020_Date" minOccurs="0"/>
                <xsd:element ref="ns2:_Status" minOccurs="0"/>
                <xsd:element ref="ns3:Classification"/>
                <xsd:element ref="ns3:Descriptor"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6"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Recipient" ma:index="3" nillable="true" ma:displayName="Recipient" ma:default="" ma:description="Internal or external person(s) or group (eg Exec, SMT or Authority).  For Legal Advice put recipient of advice." ma:internalName="Recipient" ma:readOnly="false">
      <xsd:simpleType>
        <xsd:restriction base="dms:Text">
          <xsd:maxLength value="255"/>
        </xsd:restriction>
      </xsd:simpleType>
    </xsd:element>
    <xsd:element name="Organisation" ma:index="4" nillable="true" ma:displayName="Organisation" ma:default="Choose an Organisation" ma:description="Choose from the drop-down menu or fill in a value" ma:format="Dropdown" ma:internalName="Organisation" ma:readOnly="false">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Meeting_x0020_Date" ma:index="5" nillable="true" ma:displayName="Meeting Date" ma:default="[today]" ma:description="Enter the date as DD/MM/YYYY" ma:format="DateOnly" ma:internalName="Meeting_x0020_Date" ma:readOnly="false">
      <xsd:simpleType>
        <xsd:restriction base="dms:DateTime"/>
      </xsd:simpleType>
    </xsd:element>
    <xsd:element name="Classification" ma:index="13"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4"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8259-4F0B-4219-BD9D-48ABEC94531B}">
  <ds:schemaRefs>
    <ds:schemaRef ds:uri="http://schemas.microsoft.com/sharepoint/v3/field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eecedeb9-13b3-4e62-b003-046c92e1668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186FE47-F48F-4478-9589-40724BB750C3}">
  <ds:schemaRefs>
    <ds:schemaRef ds:uri="http://schemas.microsoft.com/sharepoint/v3/contenttype/forms"/>
  </ds:schemaRefs>
</ds:datastoreItem>
</file>

<file path=customXml/itemProps3.xml><?xml version="1.0" encoding="utf-8"?>
<ds:datastoreItem xmlns:ds="http://schemas.openxmlformats.org/officeDocument/2006/customXml" ds:itemID="{81233D2F-FE6E-41D7-A04A-E3E160F1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ecedeb9-13b3-4e62-b003-046c92e1668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1D3BFB-6A55-4334-B4A3-95721CBB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Minutes2013</Template>
  <TotalTime>830</TotalTime>
  <Pages>5</Pages>
  <Words>1777</Words>
  <Characters>9031</Characters>
  <Application>Microsoft Office Word</Application>
  <DocSecurity>0</DocSecurity>
  <Lines>233</Lines>
  <Paragraphs>137</Paragraphs>
  <ScaleCrop>false</ScaleCrop>
  <HeadingPairs>
    <vt:vector size="2" baseType="variant">
      <vt:variant>
        <vt:lpstr>Title</vt:lpstr>
      </vt:variant>
      <vt:variant>
        <vt:i4>1</vt:i4>
      </vt:variant>
    </vt:vector>
  </HeadingPairs>
  <TitlesOfParts>
    <vt:vector size="1" baseType="lpstr">
      <vt:lpstr>Meeting 21 – Smart Grid Forum Work Stream 6</vt:lpstr>
    </vt:vector>
  </TitlesOfParts>
  <Company>Ofgem</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21 – Smart Grid Forum Work Stream 6</dc:title>
  <dc:subject>Minutes from the meeting of the Smart Grid Forum Work Stream Six on Tuesday 18 February</dc:subject>
  <dc:creator>Andrew White</dc:creator>
  <cp:lastModifiedBy>Andrew White</cp:lastModifiedBy>
  <cp:revision>139</cp:revision>
  <cp:lastPrinted>2014-03-03T13:56:00Z</cp:lastPrinted>
  <dcterms:created xsi:type="dcterms:W3CDTF">2014-02-20T09:13:00Z</dcterms:created>
  <dcterms:modified xsi:type="dcterms:W3CDTF">2014-03-11T15:23:00Z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0x0101004E26499DBA136E4999D1014CC64F75F70019BE78A5FBD7614CB96B0863FEEC4035</vt:lpwstr>
  </property>
</Properties>
</file>