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37E83" w14:textId="77777777" w:rsidR="005629A1" w:rsidRPr="005629A1" w:rsidRDefault="005629A1" w:rsidP="005629A1">
      <w:pPr>
        <w:jc w:val="center"/>
        <w:rPr>
          <w:rFonts w:ascii="Arial" w:hAnsi="Arial" w:cs="Arial"/>
          <w:b/>
          <w:bCs/>
        </w:rPr>
      </w:pPr>
      <w:bookmarkStart w:id="0" w:name="_Hlk150516376"/>
      <w:r w:rsidRPr="005629A1">
        <w:rPr>
          <w:rFonts w:ascii="Arial" w:hAnsi="Arial" w:cs="Arial"/>
          <w:noProof/>
        </w:rPr>
        <w:drawing>
          <wp:inline distT="0" distB="0" distL="0" distR="0" wp14:anchorId="6DF04114" wp14:editId="34FD94F0">
            <wp:extent cx="2569607" cy="7543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96DAC541-7B7A-43D3-8B79-37D633B846F1}">
                          <asvg:svgBlip xmlns:asvg="http://schemas.microsoft.com/office/drawing/2016/SVG/main" r:embed="rId12"/>
                        </a:ext>
                      </a:extLst>
                    </a:blip>
                    <a:stretch>
                      <a:fillRect/>
                    </a:stretch>
                  </pic:blipFill>
                  <pic:spPr>
                    <a:xfrm>
                      <a:off x="0" y="0"/>
                      <a:ext cx="2586741" cy="759410"/>
                    </a:xfrm>
                    <a:prstGeom prst="rect">
                      <a:avLst/>
                    </a:prstGeom>
                  </pic:spPr>
                </pic:pic>
              </a:graphicData>
            </a:graphic>
          </wp:inline>
        </w:drawing>
      </w:r>
    </w:p>
    <w:p w14:paraId="0136915E" w14:textId="34F807E4" w:rsidR="00CF3DBC" w:rsidRPr="005629A1" w:rsidRDefault="00CF3DBC" w:rsidP="005629A1">
      <w:pPr>
        <w:jc w:val="center"/>
        <w:rPr>
          <w:rFonts w:ascii="Arial" w:hAnsi="Arial" w:cs="Arial"/>
          <w:b/>
          <w:bCs/>
          <w:sz w:val="28"/>
          <w:szCs w:val="28"/>
        </w:rPr>
      </w:pPr>
      <w:r w:rsidRPr="005629A1">
        <w:rPr>
          <w:rFonts w:ascii="Arial" w:hAnsi="Arial" w:cs="Arial"/>
          <w:b/>
          <w:bCs/>
          <w:sz w:val="28"/>
          <w:szCs w:val="28"/>
        </w:rPr>
        <w:t>Open letter on regulatory arrangements for independent distribution network operators</w:t>
      </w:r>
    </w:p>
    <w:p w14:paraId="56D6B5FE" w14:textId="1E2488A7" w:rsidR="005629A1" w:rsidRDefault="005629A1" w:rsidP="005629A1">
      <w:pPr>
        <w:jc w:val="center"/>
        <w:rPr>
          <w:rFonts w:ascii="Arial" w:hAnsi="Arial" w:cs="Arial"/>
          <w:b/>
          <w:bCs/>
          <w:sz w:val="28"/>
          <w:szCs w:val="28"/>
        </w:rPr>
      </w:pPr>
      <w:r w:rsidRPr="005629A1">
        <w:rPr>
          <w:rFonts w:ascii="Arial" w:hAnsi="Arial" w:cs="Arial"/>
          <w:b/>
          <w:bCs/>
          <w:sz w:val="28"/>
          <w:szCs w:val="28"/>
        </w:rPr>
        <w:t>Response from Vattenfall</w:t>
      </w:r>
    </w:p>
    <w:p w14:paraId="7A9B36AC" w14:textId="77777777" w:rsidR="005629A1" w:rsidRPr="005629A1" w:rsidRDefault="005629A1" w:rsidP="005629A1">
      <w:pPr>
        <w:jc w:val="center"/>
        <w:rPr>
          <w:rFonts w:ascii="Arial" w:hAnsi="Arial" w:cs="Arial"/>
          <w:b/>
          <w:bCs/>
          <w:sz w:val="28"/>
          <w:szCs w:val="28"/>
        </w:rPr>
      </w:pPr>
    </w:p>
    <w:p w14:paraId="7AC92160" w14:textId="77777777" w:rsidR="00E63981" w:rsidRPr="005629A1" w:rsidRDefault="00E63981" w:rsidP="00CF3DBC">
      <w:pPr>
        <w:spacing w:line="276" w:lineRule="auto"/>
        <w:rPr>
          <w:rFonts w:ascii="Arial" w:hAnsi="Arial" w:cs="Arial"/>
        </w:rPr>
      </w:pPr>
      <w:r w:rsidRPr="005629A1">
        <w:rPr>
          <w:rFonts w:ascii="Arial" w:hAnsi="Arial" w:cs="Arial"/>
        </w:rPr>
        <w:t xml:space="preserve">Vattenfall welcomes the opportunity to </w:t>
      </w:r>
      <w:r w:rsidR="00CF3DBC" w:rsidRPr="005629A1">
        <w:rPr>
          <w:rFonts w:ascii="Arial" w:hAnsi="Arial" w:cs="Arial"/>
        </w:rPr>
        <w:t>comment on the</w:t>
      </w:r>
      <w:r w:rsidRPr="005629A1">
        <w:rPr>
          <w:rFonts w:ascii="Arial" w:hAnsi="Arial" w:cs="Arial"/>
        </w:rPr>
        <w:t xml:space="preserve"> Ofgem</w:t>
      </w:r>
      <w:r w:rsidR="00CF3DBC" w:rsidRPr="005629A1">
        <w:rPr>
          <w:rFonts w:ascii="Arial" w:hAnsi="Arial" w:cs="Arial"/>
        </w:rPr>
        <w:t xml:space="preserve"> open letter</w:t>
      </w:r>
      <w:r w:rsidRPr="005629A1">
        <w:rPr>
          <w:rFonts w:ascii="Arial" w:hAnsi="Arial" w:cs="Arial"/>
        </w:rPr>
        <w:t xml:space="preserve"> on regulatory arrangements for independent distribution network operators.    </w:t>
      </w:r>
    </w:p>
    <w:p w14:paraId="5A174E6C" w14:textId="61AE9120" w:rsidR="00E63981" w:rsidRPr="005629A1" w:rsidRDefault="00E63981" w:rsidP="00E63981">
      <w:pPr>
        <w:rPr>
          <w:rFonts w:ascii="Arial" w:eastAsia="Times New Roman" w:hAnsi="Arial" w:cs="Arial"/>
          <w:kern w:val="0"/>
          <w14:ligatures w14:val="none"/>
        </w:rPr>
      </w:pPr>
      <w:r w:rsidRPr="1E60E404">
        <w:rPr>
          <w:rFonts w:ascii="Arial" w:eastAsia="Times New Roman" w:hAnsi="Arial" w:cs="Arial"/>
        </w:rPr>
        <w:t xml:space="preserve">Vattenfall </w:t>
      </w:r>
      <w:bookmarkStart w:id="1" w:name="_Int_07ohPYmC"/>
      <w:r w:rsidRPr="1E60E404">
        <w:rPr>
          <w:rFonts w:ascii="Arial" w:eastAsia="Times New Roman" w:hAnsi="Arial" w:cs="Arial"/>
        </w:rPr>
        <w:t>IDNO</w:t>
      </w:r>
      <w:bookmarkEnd w:id="1"/>
      <w:r w:rsidRPr="1E60E404">
        <w:rPr>
          <w:rFonts w:ascii="Arial" w:eastAsia="Times New Roman" w:hAnsi="Arial" w:cs="Arial"/>
        </w:rPr>
        <w:t xml:space="preserve"> is an Ofgem regulated Independent Distribution Network Operator. We provide grid connections for commercial projects and pay business owners or developers an Asset Adoption Value (AAV) to help reduce the total capital cost of designing and building new power networks. We also connect embedded generation to the grid, such as solar, wind, hydro and battery storage.   It is from that perspective that we are happy to submit this short consultation response</w:t>
      </w:r>
      <w:r w:rsidR="625DC5D2" w:rsidRPr="1E60E404">
        <w:rPr>
          <w:rFonts w:ascii="Arial" w:eastAsia="Times New Roman" w:hAnsi="Arial" w:cs="Arial"/>
        </w:rPr>
        <w:t>.</w:t>
      </w:r>
    </w:p>
    <w:p w14:paraId="25737BDF" w14:textId="13C26535" w:rsidR="00CF3DBC" w:rsidRPr="005629A1" w:rsidRDefault="00CF3DBC" w:rsidP="00CF3DBC">
      <w:pPr>
        <w:spacing w:line="276" w:lineRule="auto"/>
        <w:rPr>
          <w:rFonts w:ascii="Arial" w:hAnsi="Arial" w:cs="Arial"/>
        </w:rPr>
      </w:pPr>
      <w:r w:rsidRPr="1E60E404">
        <w:rPr>
          <w:rFonts w:ascii="Arial" w:hAnsi="Arial" w:cs="Arial"/>
        </w:rPr>
        <w:t xml:space="preserve">We understand from the letter that Ofgem may wish to review the benefits of competition from </w:t>
      </w:r>
      <w:bookmarkStart w:id="2" w:name="_Int_7lX0BYli"/>
      <w:r w:rsidRPr="1E60E404">
        <w:rPr>
          <w:rFonts w:ascii="Arial" w:hAnsi="Arial" w:cs="Arial"/>
        </w:rPr>
        <w:t>IDNOs</w:t>
      </w:r>
      <w:bookmarkEnd w:id="2"/>
      <w:r w:rsidRPr="1E60E404">
        <w:rPr>
          <w:rFonts w:ascii="Arial" w:hAnsi="Arial" w:cs="Arial"/>
        </w:rPr>
        <w:t xml:space="preserve"> in EHV connections and transmission network connections. We believe there are significant benefits from increased competition for EHV connections and transmission connections and welcome the chance to present our views, ahead of a review of the arrangements. </w:t>
      </w:r>
    </w:p>
    <w:p w14:paraId="2E5101DC" w14:textId="3937682C" w:rsidR="00CF3DBC" w:rsidRPr="005629A1" w:rsidRDefault="00E63981" w:rsidP="00CF3DBC">
      <w:pPr>
        <w:spacing w:line="276" w:lineRule="auto"/>
        <w:rPr>
          <w:rFonts w:ascii="Arial" w:hAnsi="Arial" w:cs="Arial"/>
        </w:rPr>
      </w:pPr>
      <w:r w:rsidRPr="005629A1">
        <w:rPr>
          <w:rFonts w:ascii="Arial" w:hAnsi="Arial" w:cs="Arial"/>
        </w:rPr>
        <w:t xml:space="preserve">There </w:t>
      </w:r>
      <w:r w:rsidR="00CF3DBC" w:rsidRPr="005629A1">
        <w:rPr>
          <w:rFonts w:ascii="Arial" w:hAnsi="Arial" w:cs="Arial"/>
        </w:rPr>
        <w:t>are broadly three points of concern raised within your open letter:</w:t>
      </w:r>
    </w:p>
    <w:p w14:paraId="0AE6088F" w14:textId="1ECBA76E" w:rsidR="00CF3DBC" w:rsidRPr="005629A1" w:rsidRDefault="00CF3DBC" w:rsidP="00CF3DBC">
      <w:pPr>
        <w:pStyle w:val="ListParagraph"/>
        <w:numPr>
          <w:ilvl w:val="0"/>
          <w:numId w:val="1"/>
        </w:numPr>
        <w:spacing w:line="276" w:lineRule="auto"/>
        <w:rPr>
          <w:rFonts w:ascii="Arial" w:hAnsi="Arial" w:cs="Arial"/>
          <w:kern w:val="0"/>
          <w14:ligatures w14:val="none"/>
        </w:rPr>
      </w:pPr>
      <w:r w:rsidRPr="005629A1">
        <w:rPr>
          <w:rFonts w:ascii="Arial" w:hAnsi="Arial" w:cs="Arial"/>
          <w:kern w:val="0"/>
          <w14:ligatures w14:val="none"/>
        </w:rPr>
        <w:t>On charging reference points for connections at EHV levels</w:t>
      </w:r>
    </w:p>
    <w:p w14:paraId="102226BB" w14:textId="76C59A3A" w:rsidR="00CF3DBC" w:rsidRPr="005629A1" w:rsidRDefault="00CF3DBC" w:rsidP="00CF3DBC">
      <w:pPr>
        <w:pStyle w:val="ListParagraph"/>
        <w:numPr>
          <w:ilvl w:val="0"/>
          <w:numId w:val="1"/>
        </w:numPr>
        <w:spacing w:line="276" w:lineRule="auto"/>
        <w:rPr>
          <w:rFonts w:ascii="Arial" w:hAnsi="Arial" w:cs="Arial"/>
          <w:kern w:val="0"/>
          <w14:ligatures w14:val="none"/>
        </w:rPr>
      </w:pPr>
      <w:r w:rsidRPr="005629A1">
        <w:rPr>
          <w:rFonts w:ascii="Arial" w:hAnsi="Arial" w:cs="Arial"/>
          <w:kern w:val="0"/>
          <w14:ligatures w14:val="none"/>
        </w:rPr>
        <w:t xml:space="preserve">That “some connection configurations may not be as shareable or economic and efficient as other options… and may give rise to higher overall system </w:t>
      </w:r>
      <w:proofErr w:type="gramStart"/>
      <w:r w:rsidRPr="005629A1">
        <w:rPr>
          <w:rFonts w:ascii="Arial" w:hAnsi="Arial" w:cs="Arial"/>
          <w:kern w:val="0"/>
          <w14:ligatures w14:val="none"/>
        </w:rPr>
        <w:t>costs”</w:t>
      </w:r>
      <w:proofErr w:type="gramEnd"/>
    </w:p>
    <w:p w14:paraId="15BA8C33" w14:textId="6854AA14" w:rsidR="00CF3DBC" w:rsidRPr="005629A1" w:rsidRDefault="00CF3DBC" w:rsidP="00CF3DBC">
      <w:pPr>
        <w:pStyle w:val="ListParagraph"/>
        <w:numPr>
          <w:ilvl w:val="0"/>
          <w:numId w:val="1"/>
        </w:numPr>
        <w:spacing w:line="276" w:lineRule="auto"/>
        <w:rPr>
          <w:rFonts w:ascii="Arial" w:hAnsi="Arial" w:cs="Arial"/>
          <w:kern w:val="0"/>
          <w14:ligatures w14:val="none"/>
        </w:rPr>
      </w:pPr>
      <w:r w:rsidRPr="005629A1">
        <w:rPr>
          <w:rFonts w:ascii="Arial" w:hAnsi="Arial" w:cs="Arial"/>
          <w:kern w:val="0"/>
          <w14:ligatures w14:val="none"/>
        </w:rPr>
        <w:t>That fair recovery of shared network costs among all customer</w:t>
      </w:r>
      <w:r w:rsidR="312FF45A" w:rsidRPr="005629A1">
        <w:rPr>
          <w:rFonts w:ascii="Arial" w:hAnsi="Arial" w:cs="Arial"/>
          <w:kern w:val="0"/>
          <w14:ligatures w14:val="none"/>
        </w:rPr>
        <w:t>s</w:t>
      </w:r>
      <w:r w:rsidRPr="005629A1">
        <w:rPr>
          <w:rFonts w:ascii="Arial" w:hAnsi="Arial" w:cs="Arial"/>
          <w:kern w:val="0"/>
          <w14:ligatures w14:val="none"/>
        </w:rPr>
        <w:t xml:space="preserve"> may not be </w:t>
      </w:r>
      <w:proofErr w:type="gramStart"/>
      <w:r w:rsidRPr="005629A1">
        <w:rPr>
          <w:rFonts w:ascii="Arial" w:hAnsi="Arial" w:cs="Arial"/>
          <w:kern w:val="0"/>
          <w14:ligatures w14:val="none"/>
        </w:rPr>
        <w:t>possible</w:t>
      </w:r>
      <w:proofErr w:type="gramEnd"/>
    </w:p>
    <w:p w14:paraId="0B0C3924" w14:textId="674F85DE" w:rsidR="00CF3DBC" w:rsidRPr="005629A1" w:rsidRDefault="00CF3DBC" w:rsidP="00CF3DBC">
      <w:pPr>
        <w:spacing w:line="276" w:lineRule="auto"/>
        <w:rPr>
          <w:rFonts w:ascii="Arial" w:hAnsi="Arial" w:cs="Arial"/>
          <w:kern w:val="0"/>
          <w14:ligatures w14:val="none"/>
        </w:rPr>
      </w:pPr>
      <w:r w:rsidRPr="005629A1">
        <w:rPr>
          <w:rFonts w:ascii="Arial" w:hAnsi="Arial" w:cs="Arial"/>
          <w:kern w:val="0"/>
          <w14:ligatures w14:val="none"/>
        </w:rPr>
        <w:t>And you seek initial thoughts on the following two questions:</w:t>
      </w:r>
    </w:p>
    <w:p w14:paraId="5016409F" w14:textId="7E68CE13" w:rsidR="00CF3DBC" w:rsidRPr="005629A1" w:rsidRDefault="00CF3DBC" w:rsidP="00CF3DBC">
      <w:pPr>
        <w:pStyle w:val="ListParagraph"/>
        <w:numPr>
          <w:ilvl w:val="0"/>
          <w:numId w:val="2"/>
        </w:numPr>
        <w:spacing w:line="276" w:lineRule="auto"/>
        <w:rPr>
          <w:rFonts w:ascii="Arial" w:hAnsi="Arial" w:cs="Arial"/>
          <w:kern w:val="0"/>
          <w14:ligatures w14:val="none"/>
        </w:rPr>
      </w:pPr>
      <w:r w:rsidRPr="005629A1">
        <w:rPr>
          <w:rFonts w:ascii="Arial" w:hAnsi="Arial" w:cs="Arial"/>
          <w:kern w:val="0"/>
          <w14:ligatures w14:val="none"/>
        </w:rPr>
        <w:t>What do you consider to be the pros/cons of IDNOs connecting EHV customers embedded within distribution networks?</w:t>
      </w:r>
    </w:p>
    <w:p w14:paraId="15B6A8F7" w14:textId="09E63ED8" w:rsidR="00CF3DBC" w:rsidRPr="005629A1" w:rsidRDefault="00CF3DBC" w:rsidP="00CF3DBC">
      <w:pPr>
        <w:pStyle w:val="ListParagraph"/>
        <w:numPr>
          <w:ilvl w:val="0"/>
          <w:numId w:val="2"/>
        </w:numPr>
        <w:spacing w:line="276" w:lineRule="auto"/>
        <w:rPr>
          <w:rFonts w:ascii="Arial" w:hAnsi="Arial" w:cs="Arial"/>
          <w:kern w:val="0"/>
          <w14:ligatures w14:val="none"/>
        </w:rPr>
      </w:pPr>
      <w:r w:rsidRPr="005629A1">
        <w:rPr>
          <w:rFonts w:ascii="Arial" w:hAnsi="Arial" w:cs="Arial"/>
          <w:kern w:val="0"/>
          <w14:ligatures w14:val="none"/>
        </w:rPr>
        <w:t>What do you consider to be the pros/cons of IDNOs connecting directly to the transmission network?</w:t>
      </w:r>
    </w:p>
    <w:p w14:paraId="14EE6ECD" w14:textId="77777777" w:rsidR="00CF3DBC" w:rsidRPr="005629A1" w:rsidRDefault="00CF3DBC" w:rsidP="00CF3DBC">
      <w:pPr>
        <w:rPr>
          <w:rFonts w:ascii="Arial" w:hAnsi="Arial" w:cs="Arial"/>
          <w:b/>
          <w:bCs/>
        </w:rPr>
      </w:pPr>
      <w:r w:rsidRPr="005629A1">
        <w:rPr>
          <w:rFonts w:ascii="Arial" w:hAnsi="Arial" w:cs="Arial"/>
          <w:b/>
          <w:bCs/>
        </w:rPr>
        <w:t>Charging reference points for connections at EHV levels</w:t>
      </w:r>
    </w:p>
    <w:p w14:paraId="1A1D6793" w14:textId="4400ABB3" w:rsidR="00CF3DBC" w:rsidRPr="005629A1" w:rsidRDefault="001F4063" w:rsidP="00CF3DBC">
      <w:pPr>
        <w:rPr>
          <w:rFonts w:ascii="Arial" w:hAnsi="Arial" w:cs="Arial"/>
        </w:rPr>
      </w:pPr>
      <w:r>
        <w:rPr>
          <w:rFonts w:ascii="Arial" w:hAnsi="Arial" w:cs="Arial"/>
        </w:rPr>
        <w:t xml:space="preserve">In relation to your </w:t>
      </w:r>
      <w:r w:rsidR="00CF3DBC" w:rsidRPr="005629A1">
        <w:rPr>
          <w:rFonts w:ascii="Arial" w:hAnsi="Arial" w:cs="Arial"/>
        </w:rPr>
        <w:t xml:space="preserve">concern in relation to undue risk for customers connecting at EHV where there is no reference point for </w:t>
      </w:r>
      <w:r w:rsidR="26C752AE" w:rsidRPr="005629A1">
        <w:rPr>
          <w:rFonts w:ascii="Arial" w:hAnsi="Arial" w:cs="Arial"/>
        </w:rPr>
        <w:t>tariffs,</w:t>
      </w:r>
      <w:r>
        <w:rPr>
          <w:rFonts w:ascii="Arial" w:hAnsi="Arial" w:cs="Arial"/>
        </w:rPr>
        <w:t xml:space="preserve"> we agree with the points made by </w:t>
      </w:r>
      <w:r w:rsidR="0138B3EB">
        <w:rPr>
          <w:rFonts w:ascii="Arial" w:hAnsi="Arial" w:cs="Arial"/>
        </w:rPr>
        <w:t xml:space="preserve">the </w:t>
      </w:r>
      <w:r w:rsidR="7E089B0C">
        <w:rPr>
          <w:rFonts w:ascii="Arial" w:hAnsi="Arial" w:cs="Arial"/>
        </w:rPr>
        <w:t>INA that</w:t>
      </w:r>
      <w:r>
        <w:rPr>
          <w:rFonts w:ascii="Arial" w:hAnsi="Arial" w:cs="Arial"/>
        </w:rPr>
        <w:t xml:space="preserve"> ‘u</w:t>
      </w:r>
      <w:r w:rsidR="00CF3DBC" w:rsidRPr="005629A1">
        <w:rPr>
          <w:rFonts w:ascii="Arial" w:hAnsi="Arial" w:cs="Arial"/>
        </w:rPr>
        <w:t>nder Licence Condition BA2</w:t>
      </w:r>
      <w:r w:rsidR="00CF3DBC" w:rsidRPr="005629A1">
        <w:rPr>
          <w:rStyle w:val="FootnoteReference"/>
          <w:rFonts w:ascii="Arial" w:hAnsi="Arial" w:cs="Arial"/>
        </w:rPr>
        <w:footnoteReference w:id="2"/>
      </w:r>
      <w:r w:rsidR="00CF3DBC" w:rsidRPr="005629A1">
        <w:rPr>
          <w:rFonts w:ascii="Arial" w:hAnsi="Arial" w:cs="Arial"/>
        </w:rPr>
        <w:t xml:space="preserve">, IDNOs are required to set charges which do not exceed the host </w:t>
      </w:r>
      <w:bookmarkStart w:id="3" w:name="_Int_Mp47h4aU"/>
      <w:r w:rsidR="00CF3DBC" w:rsidRPr="005629A1">
        <w:rPr>
          <w:rFonts w:ascii="Arial" w:hAnsi="Arial" w:cs="Arial"/>
        </w:rPr>
        <w:t>DNO</w:t>
      </w:r>
      <w:bookmarkEnd w:id="3"/>
      <w:r w:rsidR="00CF3DBC" w:rsidRPr="005629A1">
        <w:rPr>
          <w:rFonts w:ascii="Arial" w:hAnsi="Arial" w:cs="Arial"/>
        </w:rPr>
        <w:t xml:space="preserve"> charges for domestic consumers. In practice, although not prescribed, this methodology is also applied to charges for industrial and commercial customers in most cases</w:t>
      </w:r>
      <w:r w:rsidR="4E7DE53D" w:rsidRPr="005629A1">
        <w:rPr>
          <w:rFonts w:ascii="Arial" w:hAnsi="Arial" w:cs="Arial"/>
        </w:rPr>
        <w:t xml:space="preserve">. </w:t>
      </w:r>
      <w:r>
        <w:rPr>
          <w:rFonts w:ascii="Arial" w:hAnsi="Arial" w:cs="Arial"/>
        </w:rPr>
        <w:t>We agree with the I</w:t>
      </w:r>
      <w:r w:rsidR="00FD36E7">
        <w:rPr>
          <w:rFonts w:ascii="Arial" w:hAnsi="Arial" w:cs="Arial"/>
        </w:rPr>
        <w:t xml:space="preserve">NA </w:t>
      </w:r>
      <w:r>
        <w:rPr>
          <w:rFonts w:ascii="Arial" w:hAnsi="Arial" w:cs="Arial"/>
        </w:rPr>
        <w:t xml:space="preserve">that </w:t>
      </w:r>
      <w:r w:rsidR="6E3EC344">
        <w:rPr>
          <w:rFonts w:ascii="Arial" w:hAnsi="Arial" w:cs="Arial"/>
        </w:rPr>
        <w:t>where possible;</w:t>
      </w:r>
      <w:r w:rsidR="00CF3DBC" w:rsidRPr="005629A1">
        <w:rPr>
          <w:rFonts w:ascii="Arial" w:hAnsi="Arial" w:cs="Arial"/>
        </w:rPr>
        <w:t xml:space="preserve"> we seek to provide clarity, </w:t>
      </w:r>
      <w:bookmarkStart w:id="4" w:name="_Int_PGDq9K6F"/>
      <w:r w:rsidR="00CF3DBC" w:rsidRPr="005629A1">
        <w:rPr>
          <w:rFonts w:ascii="Arial" w:hAnsi="Arial" w:cs="Arial"/>
        </w:rPr>
        <w:t>simplicity</w:t>
      </w:r>
      <w:bookmarkEnd w:id="4"/>
      <w:r w:rsidR="00CF3DBC" w:rsidRPr="005629A1">
        <w:rPr>
          <w:rFonts w:ascii="Arial" w:hAnsi="Arial" w:cs="Arial"/>
        </w:rPr>
        <w:t xml:space="preserve"> and certainty to connecting customers regarding tariff</w:t>
      </w:r>
      <w:r>
        <w:rPr>
          <w:rFonts w:ascii="Arial" w:hAnsi="Arial" w:cs="Arial"/>
        </w:rPr>
        <w:t xml:space="preserve"> though accept that </w:t>
      </w:r>
      <w:r w:rsidR="26825BBF">
        <w:rPr>
          <w:rFonts w:ascii="Arial" w:hAnsi="Arial" w:cs="Arial"/>
        </w:rPr>
        <w:t>this is</w:t>
      </w:r>
      <w:r w:rsidR="00CF3DBC" w:rsidRPr="005629A1">
        <w:rPr>
          <w:rFonts w:ascii="Arial" w:hAnsi="Arial" w:cs="Arial"/>
        </w:rPr>
        <w:t xml:space="preserve"> not always </w:t>
      </w:r>
      <w:r w:rsidR="00CF3DBC" w:rsidRPr="005629A1">
        <w:rPr>
          <w:rFonts w:ascii="Arial" w:hAnsi="Arial" w:cs="Arial"/>
        </w:rPr>
        <w:lastRenderedPageBreak/>
        <w:t xml:space="preserve">possible at the EHV level where site-specific charging from </w:t>
      </w:r>
      <w:bookmarkStart w:id="5" w:name="_Int_UbmgTZbi"/>
      <w:r w:rsidR="00CF3DBC" w:rsidRPr="005629A1">
        <w:rPr>
          <w:rFonts w:ascii="Arial" w:hAnsi="Arial" w:cs="Arial"/>
        </w:rPr>
        <w:t>DNOs</w:t>
      </w:r>
      <w:bookmarkEnd w:id="5"/>
      <w:r w:rsidR="00CF3DBC" w:rsidRPr="005629A1">
        <w:rPr>
          <w:rFonts w:ascii="Arial" w:hAnsi="Arial" w:cs="Arial"/>
        </w:rPr>
        <w:t xml:space="preserve"> is not made available or are not provided in a timely fashion</w:t>
      </w:r>
      <w:r w:rsidR="0B209E40">
        <w:rPr>
          <w:rFonts w:ascii="Arial" w:hAnsi="Arial" w:cs="Arial"/>
        </w:rPr>
        <w:t>.’</w:t>
      </w:r>
      <w:r w:rsidR="00CF3DBC" w:rsidRPr="005629A1">
        <w:rPr>
          <w:rFonts w:ascii="Arial" w:hAnsi="Arial" w:cs="Arial"/>
        </w:rPr>
        <w:t xml:space="preserve"> </w:t>
      </w:r>
      <w:r>
        <w:rPr>
          <w:rFonts w:ascii="Arial" w:hAnsi="Arial" w:cs="Arial"/>
        </w:rPr>
        <w:t xml:space="preserve"> We further agree with the I</w:t>
      </w:r>
      <w:r w:rsidR="00FD36E7">
        <w:rPr>
          <w:rFonts w:ascii="Arial" w:hAnsi="Arial" w:cs="Arial"/>
        </w:rPr>
        <w:t xml:space="preserve">NA </w:t>
      </w:r>
      <w:r>
        <w:rPr>
          <w:rFonts w:ascii="Arial" w:hAnsi="Arial" w:cs="Arial"/>
        </w:rPr>
        <w:t>that ‘</w:t>
      </w:r>
      <w:r w:rsidR="00FD36E7">
        <w:rPr>
          <w:rFonts w:ascii="Arial" w:hAnsi="Arial" w:cs="Arial"/>
        </w:rPr>
        <w:t>i</w:t>
      </w:r>
      <w:r w:rsidR="00CF3DBC" w:rsidRPr="005629A1">
        <w:rPr>
          <w:rFonts w:ascii="Arial" w:hAnsi="Arial" w:cs="Arial"/>
        </w:rPr>
        <w:t>n seeking to provide certainty and stability for customers, Ofgem should consider how these charges can be made transparent and timely</w:t>
      </w:r>
      <w:r w:rsidR="270C248C">
        <w:rPr>
          <w:rFonts w:ascii="Arial" w:hAnsi="Arial" w:cs="Arial"/>
        </w:rPr>
        <w:t>.’</w:t>
      </w:r>
    </w:p>
    <w:p w14:paraId="2D9759C4" w14:textId="14DFF068" w:rsidR="00CF3DBC" w:rsidRPr="005629A1" w:rsidRDefault="001F4063" w:rsidP="00CF3DBC">
      <w:pPr>
        <w:rPr>
          <w:rFonts w:ascii="Arial" w:hAnsi="Arial" w:cs="Arial"/>
        </w:rPr>
      </w:pPr>
      <w:r w:rsidRPr="1E60E404">
        <w:rPr>
          <w:rFonts w:ascii="Arial" w:hAnsi="Arial" w:cs="Arial"/>
        </w:rPr>
        <w:t>We share the I</w:t>
      </w:r>
      <w:r w:rsidR="00273420" w:rsidRPr="1E60E404">
        <w:rPr>
          <w:rFonts w:ascii="Arial" w:hAnsi="Arial" w:cs="Arial"/>
        </w:rPr>
        <w:t>NA</w:t>
      </w:r>
      <w:r w:rsidRPr="1E60E404">
        <w:rPr>
          <w:rFonts w:ascii="Arial" w:hAnsi="Arial" w:cs="Arial"/>
        </w:rPr>
        <w:t xml:space="preserve"> assessment </w:t>
      </w:r>
      <w:r w:rsidR="28996720" w:rsidRPr="1E60E404">
        <w:rPr>
          <w:rFonts w:ascii="Arial" w:hAnsi="Arial" w:cs="Arial"/>
        </w:rPr>
        <w:t>that customers</w:t>
      </w:r>
      <w:r w:rsidR="00CF3DBC" w:rsidRPr="1E60E404">
        <w:rPr>
          <w:rFonts w:ascii="Arial" w:hAnsi="Arial" w:cs="Arial"/>
        </w:rPr>
        <w:t xml:space="preserve"> connecting at this level are</w:t>
      </w:r>
      <w:r w:rsidRPr="1E60E404">
        <w:rPr>
          <w:rFonts w:ascii="Arial" w:hAnsi="Arial" w:cs="Arial"/>
        </w:rPr>
        <w:t xml:space="preserve"> informed and </w:t>
      </w:r>
      <w:r w:rsidR="15FC1147" w:rsidRPr="1E60E404">
        <w:rPr>
          <w:rFonts w:ascii="Arial" w:hAnsi="Arial" w:cs="Arial"/>
        </w:rPr>
        <w:t>knowledgeable purchasers</w:t>
      </w:r>
      <w:r w:rsidR="00CF3DBC" w:rsidRPr="1E60E404">
        <w:rPr>
          <w:rFonts w:ascii="Arial" w:hAnsi="Arial" w:cs="Arial"/>
        </w:rPr>
        <w:t xml:space="preserve"> of energy and demand significant transparency and understanding of tariff arrangements from IDNOs whilst carrying out their due diligence on project viability</w:t>
      </w:r>
      <w:r w:rsidR="1E220807" w:rsidRPr="1E60E404">
        <w:rPr>
          <w:rFonts w:ascii="Arial" w:hAnsi="Arial" w:cs="Arial"/>
        </w:rPr>
        <w:t xml:space="preserve">. </w:t>
      </w:r>
      <w:r w:rsidRPr="1E60E404">
        <w:rPr>
          <w:rFonts w:ascii="Arial" w:hAnsi="Arial" w:cs="Arial"/>
        </w:rPr>
        <w:t>We would agree therefore with the I</w:t>
      </w:r>
      <w:r w:rsidR="00273420" w:rsidRPr="1E60E404">
        <w:rPr>
          <w:rFonts w:ascii="Arial" w:hAnsi="Arial" w:cs="Arial"/>
        </w:rPr>
        <w:t>NA</w:t>
      </w:r>
      <w:r w:rsidRPr="1E60E404">
        <w:rPr>
          <w:rFonts w:ascii="Arial" w:hAnsi="Arial" w:cs="Arial"/>
        </w:rPr>
        <w:t xml:space="preserve"> that </w:t>
      </w:r>
      <w:r w:rsidR="00CF3DBC" w:rsidRPr="1E60E404">
        <w:rPr>
          <w:rFonts w:ascii="Arial" w:hAnsi="Arial" w:cs="Arial"/>
        </w:rPr>
        <w:t>the risk</w:t>
      </w:r>
      <w:r w:rsidR="09D91480" w:rsidRPr="1E60E404">
        <w:rPr>
          <w:rFonts w:ascii="Arial" w:hAnsi="Arial" w:cs="Arial"/>
        </w:rPr>
        <w:t>s</w:t>
      </w:r>
      <w:r w:rsidR="00CF3DBC" w:rsidRPr="1E60E404">
        <w:rPr>
          <w:rFonts w:ascii="Arial" w:hAnsi="Arial" w:cs="Arial"/>
        </w:rPr>
        <w:t xml:space="preserve"> </w:t>
      </w:r>
      <w:r w:rsidRPr="1E60E404">
        <w:rPr>
          <w:rFonts w:ascii="Arial" w:hAnsi="Arial" w:cs="Arial"/>
        </w:rPr>
        <w:t xml:space="preserve">for </w:t>
      </w:r>
      <w:r w:rsidR="00CF3DBC" w:rsidRPr="1E60E404">
        <w:rPr>
          <w:rFonts w:ascii="Arial" w:hAnsi="Arial" w:cs="Arial"/>
        </w:rPr>
        <w:t xml:space="preserve">customers connecting to IDNOs </w:t>
      </w:r>
      <w:r w:rsidR="36A219F3" w:rsidRPr="1E60E404">
        <w:rPr>
          <w:rFonts w:ascii="Arial" w:hAnsi="Arial" w:cs="Arial"/>
        </w:rPr>
        <w:t>are not</w:t>
      </w:r>
      <w:r w:rsidR="00CF3DBC" w:rsidRPr="1E60E404">
        <w:rPr>
          <w:rFonts w:ascii="Arial" w:hAnsi="Arial" w:cs="Arial"/>
        </w:rPr>
        <w:t xml:space="preserve"> greater than for customers connecting to a DNO where site-specific charges apply. </w:t>
      </w:r>
    </w:p>
    <w:p w14:paraId="225B7910" w14:textId="77777777" w:rsidR="00CF3DBC" w:rsidRPr="005629A1" w:rsidRDefault="00CF3DBC" w:rsidP="00CF3DBC">
      <w:pPr>
        <w:rPr>
          <w:rFonts w:ascii="Arial" w:hAnsi="Arial" w:cs="Arial"/>
          <w:b/>
          <w:bCs/>
        </w:rPr>
      </w:pPr>
      <w:r w:rsidRPr="005629A1">
        <w:rPr>
          <w:rFonts w:ascii="Arial" w:hAnsi="Arial" w:cs="Arial"/>
          <w:b/>
          <w:bCs/>
        </w:rPr>
        <w:t>Charging reference points for connections at Transmission levels</w:t>
      </w:r>
    </w:p>
    <w:p w14:paraId="1829CF3B" w14:textId="77777777" w:rsidR="001F4063" w:rsidRDefault="001F4063" w:rsidP="00CF3DBC">
      <w:pPr>
        <w:rPr>
          <w:rFonts w:ascii="Arial" w:hAnsi="Arial" w:cs="Arial"/>
        </w:rPr>
      </w:pPr>
      <w:r>
        <w:rPr>
          <w:rFonts w:ascii="Arial" w:hAnsi="Arial" w:cs="Arial"/>
        </w:rPr>
        <w:t xml:space="preserve">With regards to your analysis that </w:t>
      </w:r>
      <w:r w:rsidR="00CF3DBC" w:rsidRPr="005629A1">
        <w:rPr>
          <w:rFonts w:ascii="Arial" w:hAnsi="Arial" w:cs="Arial"/>
        </w:rPr>
        <w:t xml:space="preserve"> fair recovery of shared network costs among all customers </w:t>
      </w:r>
      <w:r>
        <w:rPr>
          <w:rFonts w:ascii="Arial" w:hAnsi="Arial" w:cs="Arial"/>
        </w:rPr>
        <w:t xml:space="preserve">may be </w:t>
      </w:r>
      <w:r w:rsidR="00CF3DBC" w:rsidRPr="005629A1">
        <w:rPr>
          <w:rFonts w:ascii="Arial" w:hAnsi="Arial" w:cs="Arial"/>
        </w:rPr>
        <w:t xml:space="preserve"> a particular concern for IDNOs seeking to connect directly to the transmission network and that this arrangement may have been part of the reason for customers to seek a connection to the transmission network directly from an IDNO</w:t>
      </w:r>
      <w:r>
        <w:rPr>
          <w:rFonts w:ascii="Arial" w:hAnsi="Arial" w:cs="Arial"/>
        </w:rPr>
        <w:t>, we would appeal to you for more evidence for this so that we might better understand this concern so that we can address it directly.</w:t>
      </w:r>
    </w:p>
    <w:p w14:paraId="7DF54AAF" w14:textId="57334564" w:rsidR="001F4063" w:rsidRDefault="001F4063" w:rsidP="124019A7">
      <w:pPr>
        <w:rPr>
          <w:rFonts w:ascii="Arial" w:hAnsi="Arial" w:cs="Arial"/>
        </w:rPr>
      </w:pPr>
      <w:r w:rsidRPr="1E60E404">
        <w:rPr>
          <w:rFonts w:ascii="Arial" w:hAnsi="Arial" w:cs="Arial"/>
        </w:rPr>
        <w:t>The I</w:t>
      </w:r>
      <w:r w:rsidR="00273420" w:rsidRPr="1E60E404">
        <w:rPr>
          <w:rFonts w:ascii="Arial" w:hAnsi="Arial" w:cs="Arial"/>
        </w:rPr>
        <w:t>NA</w:t>
      </w:r>
      <w:r w:rsidRPr="1E60E404">
        <w:rPr>
          <w:rFonts w:ascii="Arial" w:hAnsi="Arial" w:cs="Arial"/>
        </w:rPr>
        <w:t xml:space="preserve"> assumes that </w:t>
      </w:r>
      <w:r w:rsidR="00CF3DBC" w:rsidRPr="1E60E404">
        <w:rPr>
          <w:rFonts w:ascii="Arial" w:hAnsi="Arial" w:cs="Arial"/>
        </w:rPr>
        <w:t>you may be referring to the possibility of a distribution or private wire customer connected directly to the transmission network avoiding paying the residual element of the tariff which they would have otherwise been liable for if they had connected to the DNO network.</w:t>
      </w:r>
      <w:r w:rsidRPr="1E60E404">
        <w:rPr>
          <w:rFonts w:ascii="Arial" w:hAnsi="Arial" w:cs="Arial"/>
        </w:rPr>
        <w:t xml:space="preserve"> We share the I</w:t>
      </w:r>
      <w:r w:rsidR="00273420" w:rsidRPr="1E60E404">
        <w:rPr>
          <w:rFonts w:ascii="Arial" w:hAnsi="Arial" w:cs="Arial"/>
        </w:rPr>
        <w:t xml:space="preserve">NA </w:t>
      </w:r>
      <w:r w:rsidRPr="1E60E404">
        <w:rPr>
          <w:rFonts w:ascii="Arial" w:hAnsi="Arial" w:cs="Arial"/>
        </w:rPr>
        <w:t>view that ‘</w:t>
      </w:r>
      <w:r w:rsidR="00CF3DBC" w:rsidRPr="1E60E404">
        <w:rPr>
          <w:rFonts w:ascii="Arial" w:hAnsi="Arial" w:cs="Arial"/>
        </w:rPr>
        <w:t xml:space="preserve">this may create perverse incentives in determining the solution for connections for extremely large demand sites and it is important </w:t>
      </w:r>
      <w:r w:rsidRPr="1E60E404">
        <w:rPr>
          <w:rFonts w:ascii="Arial" w:hAnsi="Arial" w:cs="Arial"/>
        </w:rPr>
        <w:t xml:space="preserve">therefore </w:t>
      </w:r>
      <w:r w:rsidR="00CF3DBC" w:rsidRPr="1E60E404">
        <w:rPr>
          <w:rFonts w:ascii="Arial" w:hAnsi="Arial" w:cs="Arial"/>
        </w:rPr>
        <w:t>that network costs are fairly recovered</w:t>
      </w:r>
      <w:r w:rsidR="65D6E5A3" w:rsidRPr="1E60E404">
        <w:rPr>
          <w:rFonts w:ascii="Arial" w:hAnsi="Arial" w:cs="Arial"/>
        </w:rPr>
        <w:t xml:space="preserve">.’ </w:t>
      </w:r>
      <w:r w:rsidR="36C287FD" w:rsidRPr="1E60E404">
        <w:rPr>
          <w:rFonts w:ascii="Arial" w:hAnsi="Arial" w:cs="Arial"/>
        </w:rPr>
        <w:t>We believe that there should be proper allocation of costs to incentivise behaviours for connection and ongoing use of the system.</w:t>
      </w:r>
    </w:p>
    <w:p w14:paraId="122E235D" w14:textId="77777777" w:rsidR="00CF3DBC" w:rsidRPr="005629A1" w:rsidRDefault="00CF3DBC" w:rsidP="00CF3DBC">
      <w:pPr>
        <w:rPr>
          <w:rFonts w:ascii="Arial" w:hAnsi="Arial" w:cs="Arial"/>
          <w:b/>
          <w:bCs/>
        </w:rPr>
      </w:pPr>
      <w:r w:rsidRPr="005629A1">
        <w:rPr>
          <w:rFonts w:ascii="Arial" w:hAnsi="Arial" w:cs="Arial"/>
          <w:b/>
          <w:bCs/>
        </w:rPr>
        <w:t>Connection Configurations</w:t>
      </w:r>
    </w:p>
    <w:p w14:paraId="0F0F5B63" w14:textId="1A89B547" w:rsidR="00CF3DBC" w:rsidRPr="005629A1" w:rsidRDefault="00CF3DBC" w:rsidP="00CF3DBC">
      <w:pPr>
        <w:rPr>
          <w:rFonts w:ascii="Arial" w:hAnsi="Arial" w:cs="Arial"/>
        </w:rPr>
      </w:pPr>
      <w:r w:rsidRPr="1E60E404">
        <w:rPr>
          <w:rFonts w:ascii="Arial" w:hAnsi="Arial" w:cs="Arial"/>
        </w:rPr>
        <w:t>Your</w:t>
      </w:r>
      <w:r w:rsidR="00FB55BE" w:rsidRPr="1E60E404">
        <w:rPr>
          <w:rFonts w:ascii="Arial" w:hAnsi="Arial" w:cs="Arial"/>
        </w:rPr>
        <w:t xml:space="preserve"> open</w:t>
      </w:r>
      <w:r w:rsidRPr="1E60E404">
        <w:rPr>
          <w:rFonts w:ascii="Arial" w:hAnsi="Arial" w:cs="Arial"/>
        </w:rPr>
        <w:t xml:space="preserve"> letter suggests that some connection configurations </w:t>
      </w:r>
      <w:r w:rsidRPr="1E60E404">
        <w:rPr>
          <w:rFonts w:ascii="Arial" w:hAnsi="Arial" w:cs="Arial"/>
          <w:i/>
          <w:iCs/>
        </w:rPr>
        <w:t>“may not be as shareable or economical and efficient as other options”.</w:t>
      </w:r>
      <w:r w:rsidR="00FB55BE" w:rsidRPr="1E60E404">
        <w:rPr>
          <w:rFonts w:ascii="Arial" w:hAnsi="Arial" w:cs="Arial"/>
          <w:i/>
          <w:iCs/>
        </w:rPr>
        <w:t xml:space="preserve"> </w:t>
      </w:r>
      <w:r w:rsidR="00FB55BE" w:rsidRPr="1E60E404">
        <w:rPr>
          <w:rFonts w:ascii="Arial" w:hAnsi="Arial" w:cs="Arial"/>
        </w:rPr>
        <w:t>We agree with the I</w:t>
      </w:r>
      <w:r w:rsidR="00273420" w:rsidRPr="1E60E404">
        <w:rPr>
          <w:rFonts w:ascii="Arial" w:hAnsi="Arial" w:cs="Arial"/>
        </w:rPr>
        <w:t>NA</w:t>
      </w:r>
      <w:r w:rsidR="00FB55BE" w:rsidRPr="1E60E404">
        <w:rPr>
          <w:rFonts w:ascii="Arial" w:hAnsi="Arial" w:cs="Arial"/>
        </w:rPr>
        <w:t xml:space="preserve"> that we need further information or evidence from Ofgem </w:t>
      </w:r>
      <w:r w:rsidRPr="1E60E404">
        <w:rPr>
          <w:rFonts w:ascii="Arial" w:hAnsi="Arial" w:cs="Arial"/>
        </w:rPr>
        <w:t xml:space="preserve">that there </w:t>
      </w:r>
      <w:r w:rsidR="00FB55BE" w:rsidRPr="1E60E404">
        <w:rPr>
          <w:rFonts w:ascii="Arial" w:hAnsi="Arial" w:cs="Arial"/>
        </w:rPr>
        <w:t xml:space="preserve">are specific </w:t>
      </w:r>
      <w:r w:rsidRPr="1E60E404">
        <w:rPr>
          <w:rFonts w:ascii="Arial" w:hAnsi="Arial" w:cs="Arial"/>
        </w:rPr>
        <w:t>reason</w:t>
      </w:r>
      <w:r w:rsidR="6DA3DDCA" w:rsidRPr="1E60E404">
        <w:rPr>
          <w:rFonts w:ascii="Arial" w:hAnsi="Arial" w:cs="Arial"/>
        </w:rPr>
        <w:t>s</w:t>
      </w:r>
      <w:r w:rsidRPr="1E60E404">
        <w:rPr>
          <w:rFonts w:ascii="Arial" w:hAnsi="Arial" w:cs="Arial"/>
        </w:rPr>
        <w:t xml:space="preserve"> for IDNO connections to the Transmission network to be less shareable or efficient. </w:t>
      </w:r>
      <w:r w:rsidR="00FB55BE" w:rsidRPr="1E60E404">
        <w:rPr>
          <w:rFonts w:ascii="Arial" w:hAnsi="Arial" w:cs="Arial"/>
        </w:rPr>
        <w:t>As the I</w:t>
      </w:r>
      <w:r w:rsidR="00273420" w:rsidRPr="1E60E404">
        <w:rPr>
          <w:rFonts w:ascii="Arial" w:hAnsi="Arial" w:cs="Arial"/>
        </w:rPr>
        <w:t>NA</w:t>
      </w:r>
      <w:r w:rsidR="00FB55BE" w:rsidRPr="1E60E404">
        <w:rPr>
          <w:rFonts w:ascii="Arial" w:hAnsi="Arial" w:cs="Arial"/>
        </w:rPr>
        <w:t xml:space="preserve"> have made clear, t</w:t>
      </w:r>
      <w:r w:rsidRPr="1E60E404">
        <w:rPr>
          <w:rFonts w:ascii="Arial" w:hAnsi="Arial" w:cs="Arial"/>
        </w:rPr>
        <w:t>he provisions of the Electricity Act requir</w:t>
      </w:r>
      <w:r w:rsidR="009B5339" w:rsidRPr="1E60E404">
        <w:rPr>
          <w:rFonts w:ascii="Arial" w:hAnsi="Arial" w:cs="Arial"/>
        </w:rPr>
        <w:t>e</w:t>
      </w:r>
      <w:r w:rsidRPr="1E60E404">
        <w:rPr>
          <w:rFonts w:ascii="Arial" w:hAnsi="Arial" w:cs="Arial"/>
        </w:rPr>
        <w:t xml:space="preserve"> distributors to make a connection between their network and a premises or another network apply equally to all distributors and</w:t>
      </w:r>
      <w:r w:rsidR="00FB55BE" w:rsidRPr="1E60E404">
        <w:rPr>
          <w:rFonts w:ascii="Arial" w:hAnsi="Arial" w:cs="Arial"/>
        </w:rPr>
        <w:t xml:space="preserve">, like </w:t>
      </w:r>
      <w:r w:rsidR="7A22C62B" w:rsidRPr="1E60E404">
        <w:rPr>
          <w:rFonts w:ascii="Arial" w:hAnsi="Arial" w:cs="Arial"/>
        </w:rPr>
        <w:t>them, we</w:t>
      </w:r>
      <w:r w:rsidRPr="1E60E404">
        <w:rPr>
          <w:rFonts w:ascii="Arial" w:hAnsi="Arial" w:cs="Arial"/>
        </w:rPr>
        <w:t xml:space="preserve"> see no </w:t>
      </w:r>
      <w:bookmarkStart w:id="6" w:name="_Int_DI7KFdIl"/>
      <w:r w:rsidRPr="1E60E404">
        <w:rPr>
          <w:rFonts w:ascii="Arial" w:hAnsi="Arial" w:cs="Arial"/>
        </w:rPr>
        <w:t>reason why</w:t>
      </w:r>
      <w:bookmarkEnd w:id="6"/>
      <w:r w:rsidRPr="1E60E404">
        <w:rPr>
          <w:rFonts w:ascii="Arial" w:hAnsi="Arial" w:cs="Arial"/>
        </w:rPr>
        <w:t xml:space="preserve"> connections made by an IDNO should be any less shareable or less economic</w:t>
      </w:r>
      <w:r w:rsidR="52547801" w:rsidRPr="1E60E404">
        <w:rPr>
          <w:rFonts w:ascii="Arial" w:hAnsi="Arial" w:cs="Arial"/>
        </w:rPr>
        <w:t>.</w:t>
      </w:r>
    </w:p>
    <w:p w14:paraId="5B31AC12" w14:textId="77777777" w:rsidR="00CF3DBC" w:rsidRPr="005629A1" w:rsidRDefault="00CF3DBC" w:rsidP="00CF3DBC">
      <w:pPr>
        <w:rPr>
          <w:rFonts w:ascii="Arial" w:hAnsi="Arial" w:cs="Arial"/>
        </w:rPr>
      </w:pPr>
      <w:r w:rsidRPr="1E60E404">
        <w:rPr>
          <w:rFonts w:ascii="Arial" w:hAnsi="Arial" w:cs="Arial"/>
        </w:rPr>
        <w:t xml:space="preserve">It is important that customers on IDNO networks can continue to sell flexibility services to the Electricity System Operator (ESO) and the Distribution System Operator (DSO) </w:t>
      </w:r>
      <w:bookmarkStart w:id="7" w:name="_Int_47Uyn19d"/>
      <w:r w:rsidRPr="1E60E404">
        <w:rPr>
          <w:rFonts w:ascii="Arial" w:hAnsi="Arial" w:cs="Arial"/>
        </w:rPr>
        <w:t>as a way to</w:t>
      </w:r>
      <w:bookmarkEnd w:id="7"/>
      <w:r w:rsidRPr="1E60E404">
        <w:rPr>
          <w:rFonts w:ascii="Arial" w:hAnsi="Arial" w:cs="Arial"/>
        </w:rPr>
        <w:t xml:space="preserve"> ensure all networks are operating as efficiently as possible and help the national and regional system planners in their role of establishing the right outcomes of future network investment. </w:t>
      </w:r>
    </w:p>
    <w:p w14:paraId="1BA316D7" w14:textId="02C3B64F" w:rsidR="00CF3DBC" w:rsidRPr="005629A1" w:rsidRDefault="00CF3DBC" w:rsidP="00CF3DBC">
      <w:pPr>
        <w:pStyle w:val="xmsonormal"/>
        <w:shd w:val="clear" w:color="auto" w:fill="FFFFFF"/>
        <w:spacing w:before="0" w:beforeAutospacing="0" w:after="0" w:afterAutospacing="0"/>
        <w:rPr>
          <w:rFonts w:ascii="Arial" w:hAnsi="Arial" w:cs="Arial"/>
          <w:color w:val="242424"/>
          <w:sz w:val="22"/>
          <w:szCs w:val="22"/>
        </w:rPr>
      </w:pPr>
      <w:r w:rsidRPr="005629A1">
        <w:rPr>
          <w:rFonts w:ascii="Arial" w:hAnsi="Arial" w:cs="Arial"/>
          <w:b/>
          <w:bCs/>
          <w:color w:val="242424"/>
          <w:sz w:val="22"/>
          <w:szCs w:val="22"/>
          <w:bdr w:val="none" w:sz="0" w:space="0" w:color="auto" w:frame="1"/>
        </w:rPr>
        <w:t xml:space="preserve">The benefits to end-customers of IDNOs connecting at EHV and directly to the transmission </w:t>
      </w:r>
      <w:proofErr w:type="gramStart"/>
      <w:r w:rsidRPr="005629A1">
        <w:rPr>
          <w:rFonts w:ascii="Arial" w:hAnsi="Arial" w:cs="Arial"/>
          <w:b/>
          <w:bCs/>
          <w:color w:val="242424"/>
          <w:sz w:val="22"/>
          <w:szCs w:val="22"/>
          <w:bdr w:val="none" w:sz="0" w:space="0" w:color="auto" w:frame="1"/>
        </w:rPr>
        <w:t>network</w:t>
      </w:r>
      <w:proofErr w:type="gramEnd"/>
      <w:r w:rsidRPr="005629A1">
        <w:rPr>
          <w:rFonts w:ascii="Arial" w:hAnsi="Arial" w:cs="Arial"/>
          <w:color w:val="242424"/>
          <w:sz w:val="22"/>
          <w:szCs w:val="22"/>
          <w:bdr w:val="none" w:sz="0" w:space="0" w:color="auto" w:frame="1"/>
        </w:rPr>
        <w:t> </w:t>
      </w:r>
    </w:p>
    <w:p w14:paraId="5AB009F3" w14:textId="77777777" w:rsidR="00CF3DBC" w:rsidRPr="005629A1" w:rsidRDefault="00CF3DBC" w:rsidP="00CF3DBC">
      <w:pPr>
        <w:pStyle w:val="xmsonormal"/>
        <w:shd w:val="clear" w:color="auto" w:fill="FFFFFF"/>
        <w:spacing w:before="0" w:beforeAutospacing="0" w:after="0" w:afterAutospacing="0"/>
        <w:rPr>
          <w:rFonts w:ascii="Arial" w:hAnsi="Arial" w:cs="Arial"/>
          <w:color w:val="242424"/>
          <w:sz w:val="22"/>
          <w:szCs w:val="22"/>
          <w:bdr w:val="none" w:sz="0" w:space="0" w:color="auto" w:frame="1"/>
        </w:rPr>
      </w:pPr>
    </w:p>
    <w:p w14:paraId="62E033B3" w14:textId="53BD9355" w:rsidR="00CF3DBC" w:rsidRPr="005629A1" w:rsidRDefault="00CF3DBC" w:rsidP="1E60E404">
      <w:pPr>
        <w:pStyle w:val="xmsonormal"/>
        <w:shd w:val="clear" w:color="auto" w:fill="FFFFFF" w:themeFill="background1"/>
        <w:spacing w:before="0" w:beforeAutospacing="0" w:after="0" w:afterAutospacing="0"/>
        <w:rPr>
          <w:rFonts w:ascii="Arial" w:hAnsi="Arial" w:cs="Arial"/>
        </w:rPr>
      </w:pPr>
      <w:r w:rsidRPr="005629A1">
        <w:rPr>
          <w:rFonts w:ascii="Arial" w:hAnsi="Arial" w:cs="Arial"/>
          <w14:ligatures w14:val="none"/>
        </w:rPr>
        <w:t>T</w:t>
      </w:r>
      <w:r w:rsidRPr="1E60E404">
        <w:rPr>
          <w:rFonts w:ascii="Arial" w:hAnsi="Arial" w:cs="Arial"/>
          <w:color w:val="242424"/>
          <w:sz w:val="22"/>
          <w:szCs w:val="22"/>
        </w:rPr>
        <w:t>he benefits of IDNOs are highlighted by independent studies. For example, the LSE’s Building Back Faster study</w:t>
      </w:r>
      <w:r w:rsidRPr="1E60E404">
        <w:rPr>
          <w:rFonts w:ascii="Arial" w:hAnsi="Arial" w:cs="Arial"/>
          <w:color w:val="242424"/>
          <w:sz w:val="22"/>
          <w:szCs w:val="22"/>
        </w:rPr>
        <w:footnoteReference w:id="3"/>
      </w:r>
      <w:r w:rsidRPr="1E60E404">
        <w:rPr>
          <w:rFonts w:ascii="Arial" w:hAnsi="Arial" w:cs="Arial"/>
          <w:color w:val="242424"/>
          <w:sz w:val="22"/>
          <w:szCs w:val="22"/>
        </w:rPr>
        <w:t xml:space="preserve"> showed that “Key differences with the traditional regulated utilities lie in the focus on mostly new installations to the latest technical standards, and in the range of strategic choices across the range of network design, build, and adoption once </w:t>
      </w:r>
      <w:r w:rsidRPr="1E60E404">
        <w:rPr>
          <w:rFonts w:ascii="Arial" w:hAnsi="Arial" w:cs="Arial"/>
          <w:color w:val="242424"/>
          <w:sz w:val="22"/>
          <w:szCs w:val="22"/>
        </w:rPr>
        <w:lastRenderedPageBreak/>
        <w:t xml:space="preserve">in commission. By using an independent network provider, they can now choose a single partner across all regions and countries of the </w:t>
      </w:r>
      <w:bookmarkStart w:id="8" w:name="_Int_cnsVSRA7"/>
      <w:r w:rsidRPr="1E60E404">
        <w:rPr>
          <w:rFonts w:ascii="Arial" w:hAnsi="Arial" w:cs="Arial"/>
          <w:color w:val="242424"/>
          <w:sz w:val="22"/>
          <w:szCs w:val="22"/>
        </w:rPr>
        <w:t>UK</w:t>
      </w:r>
      <w:bookmarkEnd w:id="8"/>
      <w:r w:rsidRPr="1E60E404">
        <w:rPr>
          <w:rFonts w:ascii="Arial" w:hAnsi="Arial" w:cs="Arial"/>
          <w:color w:val="242424"/>
          <w:sz w:val="22"/>
          <w:szCs w:val="22"/>
        </w:rPr>
        <w:t xml:space="preserve">.” “The network connections provider can be integrated into the development team from planning to completion. The traditional “gaps” between developers and their regional utility operator are closed.” </w:t>
      </w:r>
    </w:p>
    <w:p w14:paraId="35CC492C" w14:textId="4220DEE2" w:rsidR="1E60E404" w:rsidRDefault="1E60E404" w:rsidP="1E60E404">
      <w:pPr>
        <w:pStyle w:val="xmsonormal"/>
        <w:shd w:val="clear" w:color="auto" w:fill="FFFFFF" w:themeFill="background1"/>
        <w:spacing w:before="0" w:beforeAutospacing="0" w:after="0" w:afterAutospacing="0"/>
        <w:rPr>
          <w:rFonts w:ascii="Arial" w:hAnsi="Arial" w:cs="Arial"/>
          <w:color w:val="242424"/>
          <w:sz w:val="22"/>
          <w:szCs w:val="22"/>
        </w:rPr>
      </w:pPr>
    </w:p>
    <w:p w14:paraId="3FD22521" w14:textId="6146EC38" w:rsidR="00380FA0" w:rsidRPr="005629A1" w:rsidRDefault="00CF3DBC" w:rsidP="00380FA0">
      <w:pPr>
        <w:pStyle w:val="xmsonormal"/>
        <w:shd w:val="clear" w:color="auto" w:fill="FFFFFF"/>
        <w:spacing w:before="0" w:beforeAutospacing="0" w:after="0" w:afterAutospacing="0"/>
        <w:rPr>
          <w:rFonts w:ascii="Arial" w:hAnsi="Arial" w:cs="Arial"/>
          <w:color w:val="242424"/>
          <w:sz w:val="22"/>
          <w:szCs w:val="22"/>
          <w:bdr w:val="none" w:sz="0" w:space="0" w:color="auto" w:frame="1"/>
        </w:rPr>
      </w:pPr>
      <w:r w:rsidRPr="005629A1">
        <w:rPr>
          <w:rFonts w:ascii="Arial" w:hAnsi="Arial" w:cs="Arial"/>
          <w:color w:val="242424"/>
          <w:sz w:val="22"/>
          <w:szCs w:val="22"/>
          <w:bdr w:val="none" w:sz="0" w:space="0" w:color="auto" w:frame="1"/>
        </w:rPr>
        <w:t>Developers are now seeking connections at EHV and direct to the transmission network.</w:t>
      </w:r>
    </w:p>
    <w:p w14:paraId="4849B4DF" w14:textId="18A7495C" w:rsidR="00380FA0" w:rsidRPr="005629A1" w:rsidRDefault="00380FA0" w:rsidP="1E60E404">
      <w:pPr>
        <w:pStyle w:val="xmsonormal"/>
        <w:shd w:val="clear" w:color="auto" w:fill="FFFFFF" w:themeFill="background1"/>
        <w:spacing w:before="0" w:beforeAutospacing="0" w:after="0" w:afterAutospacing="0"/>
        <w:rPr>
          <w:rFonts w:ascii="Arial" w:hAnsi="Arial" w:cs="Arial"/>
          <w:color w:val="242424"/>
          <w:sz w:val="22"/>
          <w:szCs w:val="22"/>
          <w:bdr w:val="none" w:sz="0" w:space="0" w:color="auto" w:frame="1"/>
        </w:rPr>
      </w:pPr>
      <w:r w:rsidRPr="005629A1">
        <w:rPr>
          <w:rFonts w:ascii="Arial" w:hAnsi="Arial" w:cs="Arial"/>
          <w:color w:val="242424"/>
          <w:sz w:val="22"/>
          <w:szCs w:val="22"/>
          <w:bdr w:val="none" w:sz="0" w:space="0" w:color="auto" w:frame="1"/>
        </w:rPr>
        <w:t xml:space="preserve">The benefits of IDNO connection seen at lower voltages can be </w:t>
      </w:r>
      <w:r w:rsidR="3DEFE540" w:rsidRPr="005629A1">
        <w:rPr>
          <w:rFonts w:ascii="Arial" w:hAnsi="Arial" w:cs="Arial"/>
          <w:color w:val="242424"/>
          <w:sz w:val="22"/>
          <w:szCs w:val="22"/>
          <w:bdr w:val="none" w:sz="0" w:space="0" w:color="auto" w:frame="1"/>
        </w:rPr>
        <w:t>realised developers</w:t>
      </w:r>
      <w:r w:rsidRPr="005629A1">
        <w:rPr>
          <w:rFonts w:ascii="Arial" w:hAnsi="Arial" w:cs="Arial"/>
          <w:color w:val="242424"/>
          <w:sz w:val="22"/>
          <w:szCs w:val="22"/>
          <w:bdr w:val="none" w:sz="0" w:space="0" w:color="auto" w:frame="1"/>
        </w:rPr>
        <w:t xml:space="preserve"> see connecting via an IDNO </w:t>
      </w:r>
      <w:r w:rsidR="009E0DA3" w:rsidRPr="005629A1">
        <w:rPr>
          <w:rFonts w:ascii="Arial" w:hAnsi="Arial" w:cs="Arial"/>
          <w:color w:val="242424"/>
          <w:sz w:val="22"/>
          <w:szCs w:val="22"/>
          <w:bdr w:val="none" w:sz="0" w:space="0" w:color="auto" w:frame="1"/>
        </w:rPr>
        <w:t xml:space="preserve">as </w:t>
      </w:r>
      <w:r w:rsidRPr="005629A1">
        <w:rPr>
          <w:rFonts w:ascii="Arial" w:hAnsi="Arial" w:cs="Arial"/>
          <w:color w:val="242424"/>
          <w:sz w:val="22"/>
          <w:szCs w:val="22"/>
          <w:bdr w:val="none" w:sz="0" w:space="0" w:color="auto" w:frame="1"/>
        </w:rPr>
        <w:t>provid</w:t>
      </w:r>
      <w:r w:rsidR="009E0DA3" w:rsidRPr="005629A1">
        <w:rPr>
          <w:rFonts w:ascii="Arial" w:hAnsi="Arial" w:cs="Arial"/>
          <w:color w:val="242424"/>
          <w:sz w:val="22"/>
          <w:szCs w:val="22"/>
          <w:bdr w:val="none" w:sz="0" w:space="0" w:color="auto" w:frame="1"/>
        </w:rPr>
        <w:t>ing</w:t>
      </w:r>
      <w:r w:rsidRPr="005629A1">
        <w:rPr>
          <w:rFonts w:ascii="Arial" w:hAnsi="Arial" w:cs="Arial"/>
          <w:color w:val="242424"/>
          <w:sz w:val="22"/>
          <w:szCs w:val="22"/>
          <w:bdr w:val="none" w:sz="0" w:space="0" w:color="auto" w:frame="1"/>
        </w:rPr>
        <w:t xml:space="preserve"> them with a simpler and quicker connection process. </w:t>
      </w:r>
    </w:p>
    <w:p w14:paraId="3D29929C" w14:textId="7937AB14" w:rsidR="00380FA0" w:rsidRPr="005629A1" w:rsidRDefault="00380FA0" w:rsidP="1E60E404">
      <w:pPr>
        <w:pStyle w:val="xmsonormal"/>
        <w:shd w:val="clear" w:color="auto" w:fill="FFFFFF" w:themeFill="background1"/>
        <w:spacing w:before="0" w:beforeAutospacing="0" w:after="0" w:afterAutospacing="0"/>
        <w:rPr>
          <w:rFonts w:ascii="Arial" w:hAnsi="Arial" w:cs="Arial"/>
          <w:color w:val="242424"/>
          <w:sz w:val="22"/>
          <w:szCs w:val="22"/>
          <w:bdr w:val="none" w:sz="0" w:space="0" w:color="auto" w:frame="1"/>
        </w:rPr>
      </w:pPr>
      <w:r w:rsidRPr="005629A1">
        <w:rPr>
          <w:rFonts w:ascii="Arial" w:hAnsi="Arial" w:cs="Arial"/>
          <w:color w:val="242424"/>
          <w:sz w:val="22"/>
          <w:szCs w:val="22"/>
          <w:bdr w:val="none" w:sz="0" w:space="0" w:color="auto" w:frame="1"/>
        </w:rPr>
        <w:t xml:space="preserve">The simplicity and speed of IDNO connections is </w:t>
      </w:r>
      <w:bookmarkStart w:id="9" w:name="_Int_cVbGokaY"/>
      <w:r w:rsidRPr="005629A1">
        <w:rPr>
          <w:rFonts w:ascii="Arial" w:hAnsi="Arial" w:cs="Arial"/>
          <w:color w:val="242424"/>
          <w:sz w:val="22"/>
          <w:szCs w:val="22"/>
          <w:bdr w:val="none" w:sz="0" w:space="0" w:color="auto" w:frame="1"/>
        </w:rPr>
        <w:t>largely driven</w:t>
      </w:r>
      <w:bookmarkEnd w:id="9"/>
      <w:r w:rsidRPr="005629A1">
        <w:rPr>
          <w:rFonts w:ascii="Arial" w:hAnsi="Arial" w:cs="Arial"/>
          <w:color w:val="242424"/>
          <w:sz w:val="22"/>
          <w:szCs w:val="22"/>
          <w:bdr w:val="none" w:sz="0" w:space="0" w:color="auto" w:frame="1"/>
        </w:rPr>
        <w:t xml:space="preserve"> by the IDNO focus on the customer needs. In a competitive environment, our processes must be </w:t>
      </w:r>
      <w:r w:rsidR="009E0DA3" w:rsidRPr="005629A1">
        <w:rPr>
          <w:rFonts w:ascii="Arial" w:hAnsi="Arial" w:cs="Arial"/>
          <w:color w:val="242424"/>
          <w:sz w:val="22"/>
          <w:szCs w:val="22"/>
          <w:bdr w:val="none" w:sz="0" w:space="0" w:color="auto" w:frame="1"/>
        </w:rPr>
        <w:t>responsive to the needs of the customer.</w:t>
      </w:r>
    </w:p>
    <w:p w14:paraId="7FBAB701" w14:textId="69EE1019" w:rsidR="1E60E404" w:rsidRDefault="1E60E404" w:rsidP="1E60E404">
      <w:pPr>
        <w:pStyle w:val="xmsonormal"/>
        <w:shd w:val="clear" w:color="auto" w:fill="FFFFFF" w:themeFill="background1"/>
        <w:spacing w:before="0" w:beforeAutospacing="0" w:after="0" w:afterAutospacing="0"/>
        <w:rPr>
          <w:rFonts w:ascii="Arial" w:hAnsi="Arial" w:cs="Arial"/>
          <w:color w:val="242424"/>
          <w:sz w:val="22"/>
          <w:szCs w:val="22"/>
        </w:rPr>
      </w:pPr>
    </w:p>
    <w:p w14:paraId="1992D7EE" w14:textId="1FD18254" w:rsidR="00380FA0" w:rsidRPr="005629A1" w:rsidRDefault="009E0DA3" w:rsidP="1E60E404">
      <w:pPr>
        <w:pStyle w:val="xmsonormal"/>
        <w:shd w:val="clear" w:color="auto" w:fill="FFFFFF" w:themeFill="background1"/>
        <w:spacing w:before="0" w:beforeAutospacing="0" w:after="0" w:afterAutospacing="0"/>
        <w:rPr>
          <w:rFonts w:ascii="Arial" w:hAnsi="Arial" w:cs="Arial"/>
          <w:color w:val="242424"/>
          <w:sz w:val="22"/>
          <w:szCs w:val="22"/>
          <w:bdr w:val="none" w:sz="0" w:space="0" w:color="auto" w:frame="1"/>
        </w:rPr>
      </w:pPr>
      <w:r w:rsidRPr="005629A1">
        <w:rPr>
          <w:rFonts w:ascii="Arial" w:hAnsi="Arial" w:cs="Arial"/>
          <w:color w:val="242424"/>
          <w:sz w:val="22"/>
          <w:szCs w:val="22"/>
          <w:bdr w:val="none" w:sz="0" w:space="0" w:color="auto" w:frame="1"/>
        </w:rPr>
        <w:t xml:space="preserve">We can provide more flexibility on the choice of plant and equipment—we do not limit our customers to equipment on framework agreements. This can bring cost benefits to developers but can also mitigate supply chain issues with a particular equipment manufacturer. </w:t>
      </w:r>
    </w:p>
    <w:p w14:paraId="7C61D1D7" w14:textId="4A0AD03A" w:rsidR="1E60E404" w:rsidRDefault="1E60E404" w:rsidP="1E60E404">
      <w:pPr>
        <w:pStyle w:val="xmsonormal"/>
        <w:shd w:val="clear" w:color="auto" w:fill="FFFFFF" w:themeFill="background1"/>
        <w:spacing w:before="0" w:beforeAutospacing="0" w:after="0" w:afterAutospacing="0"/>
        <w:rPr>
          <w:rFonts w:ascii="Arial" w:hAnsi="Arial" w:cs="Arial"/>
          <w:color w:val="242424"/>
          <w:sz w:val="22"/>
          <w:szCs w:val="22"/>
        </w:rPr>
      </w:pPr>
    </w:p>
    <w:p w14:paraId="239801DB" w14:textId="1F69CA15" w:rsidR="00380FA0" w:rsidRPr="005629A1" w:rsidRDefault="533B0CF8" w:rsidP="1E60E404">
      <w:pPr>
        <w:pStyle w:val="xmsonormal"/>
        <w:shd w:val="clear" w:color="auto" w:fill="FFFFFF" w:themeFill="background1"/>
        <w:spacing w:before="0" w:beforeAutospacing="0" w:after="0" w:afterAutospacing="0"/>
        <w:rPr>
          <w:rFonts w:ascii="Arial" w:hAnsi="Arial" w:cs="Arial"/>
          <w:color w:val="242424"/>
          <w:sz w:val="22"/>
          <w:szCs w:val="22"/>
          <w:bdr w:val="none" w:sz="0" w:space="0" w:color="auto" w:frame="1"/>
        </w:rPr>
      </w:pPr>
      <w:r w:rsidRPr="005629A1">
        <w:rPr>
          <w:rFonts w:ascii="Arial" w:hAnsi="Arial" w:cs="Arial"/>
          <w:color w:val="242424"/>
          <w:sz w:val="22"/>
          <w:szCs w:val="22"/>
          <w:bdr w:val="none" w:sz="0" w:space="0" w:color="auto" w:frame="1"/>
        </w:rPr>
        <w:t xml:space="preserve">Project developers see the advantage of using a regulated utility to support them in </w:t>
      </w:r>
      <w:r w:rsidR="2EE44F28" w:rsidRPr="005629A1">
        <w:rPr>
          <w:rFonts w:ascii="Arial" w:hAnsi="Arial" w:cs="Arial"/>
          <w:color w:val="242424"/>
          <w:sz w:val="22"/>
          <w:szCs w:val="22"/>
          <w:bdr w:val="none" w:sz="0" w:space="0" w:color="auto" w:frame="1"/>
        </w:rPr>
        <w:t>designing</w:t>
      </w:r>
      <w:r w:rsidRPr="005629A1">
        <w:rPr>
          <w:rFonts w:ascii="Arial" w:hAnsi="Arial" w:cs="Arial"/>
          <w:color w:val="242424"/>
          <w:sz w:val="22"/>
          <w:szCs w:val="22"/>
          <w:bdr w:val="none" w:sz="0" w:space="0" w:color="auto" w:frame="1"/>
        </w:rPr>
        <w:t xml:space="preserve">, </w:t>
      </w:r>
      <w:bookmarkStart w:id="10" w:name="_Int_6LCquolI"/>
      <w:r w:rsidRPr="005629A1">
        <w:rPr>
          <w:rFonts w:ascii="Arial" w:hAnsi="Arial" w:cs="Arial"/>
          <w:color w:val="242424"/>
          <w:sz w:val="22"/>
          <w:szCs w:val="22"/>
          <w:bdr w:val="none" w:sz="0" w:space="0" w:color="auto" w:frame="1"/>
        </w:rPr>
        <w:t>building</w:t>
      </w:r>
      <w:bookmarkEnd w:id="10"/>
      <w:r w:rsidRPr="005629A1">
        <w:rPr>
          <w:rFonts w:ascii="Arial" w:hAnsi="Arial" w:cs="Arial"/>
          <w:color w:val="242424"/>
          <w:sz w:val="22"/>
          <w:szCs w:val="22"/>
          <w:bdr w:val="none" w:sz="0" w:space="0" w:color="auto" w:frame="1"/>
        </w:rPr>
        <w:t xml:space="preserve"> and operating high voltage assets; including </w:t>
      </w:r>
      <w:r w:rsidR="67229DF5" w:rsidRPr="005629A1">
        <w:rPr>
          <w:rFonts w:ascii="Arial" w:hAnsi="Arial" w:cs="Arial"/>
          <w:color w:val="242424"/>
          <w:sz w:val="22"/>
          <w:szCs w:val="22"/>
          <w:bdr w:val="none" w:sz="0" w:space="0" w:color="auto" w:frame="1"/>
        </w:rPr>
        <w:t xml:space="preserve">the </w:t>
      </w:r>
      <w:r w:rsidR="5BDAD735" w:rsidRPr="005629A1">
        <w:rPr>
          <w:rFonts w:ascii="Arial" w:hAnsi="Arial" w:cs="Arial"/>
          <w:color w:val="242424"/>
          <w:sz w:val="22"/>
          <w:szCs w:val="22"/>
          <w:bdr w:val="none" w:sz="0" w:space="0" w:color="auto" w:frame="1"/>
        </w:rPr>
        <w:t>ability of a</w:t>
      </w:r>
      <w:r w:rsidR="00380FA0" w:rsidRPr="005629A1">
        <w:rPr>
          <w:rFonts w:ascii="Arial" w:hAnsi="Arial" w:cs="Arial"/>
          <w:color w:val="242424"/>
          <w:sz w:val="22"/>
          <w:szCs w:val="22"/>
          <w:bdr w:val="none" w:sz="0" w:space="0" w:color="auto" w:frame="1"/>
        </w:rPr>
        <w:t xml:space="preserve"> statutory undertaker </w:t>
      </w:r>
      <w:r w:rsidR="48F6E045" w:rsidRPr="005629A1">
        <w:rPr>
          <w:rFonts w:ascii="Arial" w:hAnsi="Arial" w:cs="Arial"/>
          <w:color w:val="242424"/>
          <w:sz w:val="22"/>
          <w:szCs w:val="22"/>
          <w:bdr w:val="none" w:sz="0" w:space="0" w:color="auto" w:frame="1"/>
        </w:rPr>
        <w:t xml:space="preserve">to install cables in the public highway. </w:t>
      </w:r>
      <w:r w:rsidR="00380FA0" w:rsidRPr="005629A1">
        <w:rPr>
          <w:rFonts w:ascii="Arial" w:hAnsi="Arial" w:cs="Arial"/>
          <w:color w:val="242424"/>
          <w:sz w:val="22"/>
          <w:szCs w:val="22"/>
          <w:bdr w:val="none" w:sz="0" w:space="0" w:color="auto" w:frame="1"/>
        </w:rPr>
        <w:t>Lastly</w:t>
      </w:r>
      <w:r w:rsidR="009E0DA3" w:rsidRPr="005629A1">
        <w:rPr>
          <w:rFonts w:ascii="Arial" w:hAnsi="Arial" w:cs="Arial"/>
          <w:color w:val="242424"/>
          <w:sz w:val="22"/>
          <w:szCs w:val="22"/>
          <w:bdr w:val="none" w:sz="0" w:space="0" w:color="auto" w:frame="1"/>
        </w:rPr>
        <w:t>,</w:t>
      </w:r>
      <w:r w:rsidR="00380FA0" w:rsidRPr="005629A1">
        <w:rPr>
          <w:rFonts w:ascii="Arial" w:hAnsi="Arial" w:cs="Arial"/>
          <w:color w:val="242424"/>
          <w:sz w:val="22"/>
          <w:szCs w:val="22"/>
          <w:bdr w:val="none" w:sz="0" w:space="0" w:color="auto" w:frame="1"/>
        </w:rPr>
        <w:t xml:space="preserve"> the ability of IDNOs to pay an asset value has a direct benefit to project costs. </w:t>
      </w:r>
    </w:p>
    <w:p w14:paraId="00389813" w14:textId="2E9C7765" w:rsidR="7C860D64" w:rsidRDefault="7C860D64" w:rsidP="7C860D64">
      <w:pPr>
        <w:pStyle w:val="xmsonormal"/>
        <w:shd w:val="clear" w:color="auto" w:fill="FFFFFF" w:themeFill="background1"/>
        <w:spacing w:before="0" w:beforeAutospacing="0" w:after="0" w:afterAutospacing="0"/>
        <w:rPr>
          <w:rFonts w:ascii="Arial" w:hAnsi="Arial" w:cs="Arial"/>
          <w:color w:val="242424"/>
          <w:sz w:val="22"/>
          <w:szCs w:val="22"/>
        </w:rPr>
      </w:pPr>
    </w:p>
    <w:p w14:paraId="0D5CE472" w14:textId="73706829" w:rsidR="00380FA0" w:rsidRPr="005629A1" w:rsidRDefault="00380FA0" w:rsidP="7C860D64">
      <w:pPr>
        <w:pStyle w:val="xmsonormal"/>
        <w:shd w:val="clear" w:color="auto" w:fill="FFFFFF" w:themeFill="background1"/>
        <w:spacing w:before="0" w:beforeAutospacing="0" w:after="0" w:afterAutospacing="0"/>
        <w:rPr>
          <w:rFonts w:ascii="Arial" w:hAnsi="Arial" w:cs="Arial"/>
          <w:sz w:val="22"/>
          <w:szCs w:val="22"/>
          <w14:ligatures w14:val="none"/>
        </w:rPr>
      </w:pPr>
      <w:r w:rsidRPr="005629A1">
        <w:rPr>
          <w:rFonts w:ascii="Arial" w:hAnsi="Arial" w:cs="Arial"/>
          <w:color w:val="242424"/>
          <w:sz w:val="22"/>
          <w:szCs w:val="22"/>
          <w:bdr w:val="none" w:sz="0" w:space="0" w:color="auto" w:frame="1"/>
        </w:rPr>
        <w:t>Increased customer choice will lead to more competitive network connections.</w:t>
      </w:r>
      <w:r w:rsidR="0519F5C0" w:rsidRPr="005629A1">
        <w:rPr>
          <w:rFonts w:ascii="Arial" w:hAnsi="Arial" w:cs="Arial"/>
          <w:color w:val="242424"/>
          <w:sz w:val="22"/>
          <w:szCs w:val="22"/>
          <w:bdr w:val="none" w:sz="0" w:space="0" w:color="auto" w:frame="1"/>
        </w:rPr>
        <w:t xml:space="preserve"> </w:t>
      </w:r>
      <w:r w:rsidR="00CF3DBC" w:rsidRPr="7C860D64">
        <w:rPr>
          <w:rFonts w:ascii="Arial" w:hAnsi="Arial" w:cs="Arial"/>
          <w:sz w:val="22"/>
          <w:szCs w:val="22"/>
          <w14:ligatures w14:val="none"/>
        </w:rPr>
        <w:t xml:space="preserve">Vattenfall are committed to </w:t>
      </w:r>
      <w:r w:rsidRPr="7C860D64">
        <w:rPr>
          <w:rFonts w:ascii="Arial" w:hAnsi="Arial" w:cs="Arial"/>
          <w:sz w:val="22"/>
          <w:szCs w:val="22"/>
          <w14:ligatures w14:val="none"/>
        </w:rPr>
        <w:t>enabling</w:t>
      </w:r>
      <w:r w:rsidR="00CF3DBC" w:rsidRPr="7C860D64">
        <w:rPr>
          <w:rFonts w:ascii="Arial" w:hAnsi="Arial" w:cs="Arial"/>
          <w:sz w:val="22"/>
          <w:szCs w:val="22"/>
          <w14:ligatures w14:val="none"/>
        </w:rPr>
        <w:t xml:space="preserve"> fossil free livin</w:t>
      </w:r>
      <w:r w:rsidRPr="7C860D64">
        <w:rPr>
          <w:rFonts w:ascii="Arial" w:hAnsi="Arial" w:cs="Arial"/>
          <w:sz w:val="22"/>
          <w:szCs w:val="22"/>
          <w14:ligatures w14:val="none"/>
        </w:rPr>
        <w:t>g. Vattenfall Networks c</w:t>
      </w:r>
      <w:r w:rsidR="6A89681E" w:rsidRPr="7C860D64">
        <w:rPr>
          <w:rFonts w:ascii="Arial" w:hAnsi="Arial" w:cs="Arial"/>
          <w:sz w:val="22"/>
          <w:szCs w:val="22"/>
          <w14:ligatures w14:val="none"/>
        </w:rPr>
        <w:t>ontributes to this goal</w:t>
      </w:r>
      <w:r w:rsidR="52BE0B34" w:rsidRPr="7C860D64">
        <w:rPr>
          <w:rFonts w:ascii="Arial" w:hAnsi="Arial" w:cs="Arial"/>
          <w:sz w:val="22"/>
          <w:szCs w:val="22"/>
          <w14:ligatures w14:val="none"/>
        </w:rPr>
        <w:t xml:space="preserve"> by facilitating</w:t>
      </w:r>
      <w:r w:rsidRPr="7C860D64">
        <w:rPr>
          <w:rFonts w:ascii="Arial" w:hAnsi="Arial" w:cs="Arial"/>
          <w:sz w:val="22"/>
          <w:szCs w:val="22"/>
          <w14:ligatures w14:val="none"/>
        </w:rPr>
        <w:t xml:space="preserve"> the connection of low carbon demand and generation technologies</w:t>
      </w:r>
      <w:r w:rsidR="39B2FBC1" w:rsidRPr="7C860D64">
        <w:rPr>
          <w:rFonts w:ascii="Arial" w:hAnsi="Arial" w:cs="Arial"/>
          <w:sz w:val="22"/>
          <w:szCs w:val="22"/>
          <w14:ligatures w14:val="none"/>
        </w:rPr>
        <w:t>. IDNO competition for connections at EHV and transmission will</w:t>
      </w:r>
      <w:r w:rsidR="19056E5A" w:rsidRPr="7C860D64">
        <w:rPr>
          <w:rFonts w:ascii="Arial" w:hAnsi="Arial" w:cs="Arial"/>
          <w:sz w:val="22"/>
          <w:szCs w:val="22"/>
          <w14:ligatures w14:val="none"/>
        </w:rPr>
        <w:t xml:space="preserve"> only</w:t>
      </w:r>
      <w:r w:rsidR="39B2FBC1" w:rsidRPr="7C860D64">
        <w:rPr>
          <w:rFonts w:ascii="Arial" w:hAnsi="Arial" w:cs="Arial"/>
          <w:sz w:val="22"/>
          <w:szCs w:val="22"/>
          <w14:ligatures w14:val="none"/>
        </w:rPr>
        <w:t xml:space="preserve"> help us achieve this goal of</w:t>
      </w:r>
      <w:r w:rsidR="36789402" w:rsidRPr="7C860D64">
        <w:rPr>
          <w:rFonts w:ascii="Arial" w:hAnsi="Arial" w:cs="Arial"/>
          <w:sz w:val="22"/>
          <w:szCs w:val="22"/>
          <w14:ligatures w14:val="none"/>
        </w:rPr>
        <w:t xml:space="preserve"> </w:t>
      </w:r>
      <w:r w:rsidR="76C794EF" w:rsidRPr="7C860D64">
        <w:rPr>
          <w:rFonts w:ascii="Arial" w:hAnsi="Arial" w:cs="Arial"/>
          <w:sz w:val="22"/>
          <w:szCs w:val="22"/>
          <w14:ligatures w14:val="none"/>
        </w:rPr>
        <w:t>achieving</w:t>
      </w:r>
      <w:r w:rsidR="39B2FBC1" w:rsidRPr="7C860D64">
        <w:rPr>
          <w:rFonts w:ascii="Arial" w:hAnsi="Arial" w:cs="Arial"/>
          <w:sz w:val="22"/>
          <w:szCs w:val="22"/>
          <w14:ligatures w14:val="none"/>
        </w:rPr>
        <w:t xml:space="preserve"> fossil free li</w:t>
      </w:r>
      <w:r w:rsidR="2FA1144B" w:rsidRPr="7C860D64">
        <w:rPr>
          <w:rFonts w:ascii="Arial" w:hAnsi="Arial" w:cs="Arial"/>
          <w:sz w:val="22"/>
          <w:szCs w:val="22"/>
          <w14:ligatures w14:val="none"/>
        </w:rPr>
        <w:t>ving</w:t>
      </w:r>
      <w:r w:rsidR="3C399559" w:rsidRPr="7C860D64">
        <w:rPr>
          <w:rFonts w:ascii="Arial" w:hAnsi="Arial" w:cs="Arial"/>
          <w:sz w:val="22"/>
          <w:szCs w:val="22"/>
          <w14:ligatures w14:val="none"/>
        </w:rPr>
        <w:t xml:space="preserve">. </w:t>
      </w:r>
    </w:p>
    <w:bookmarkEnd w:id="0"/>
    <w:p w14:paraId="7D8D65FD" w14:textId="77777777" w:rsidR="00CF3DBC" w:rsidRPr="005629A1" w:rsidRDefault="00CF3DBC" w:rsidP="7C860D64">
      <w:pPr>
        <w:pStyle w:val="xmsonormal"/>
        <w:shd w:val="clear" w:color="auto" w:fill="FFFFFF" w:themeFill="background1"/>
        <w:spacing w:before="0" w:beforeAutospacing="0" w:after="0" w:afterAutospacing="0"/>
        <w:rPr>
          <w:rFonts w:ascii="Arial" w:hAnsi="Arial" w:cs="Arial"/>
          <w:color w:val="242424"/>
          <w:sz w:val="22"/>
          <w:szCs w:val="22"/>
        </w:rPr>
      </w:pPr>
    </w:p>
    <w:p w14:paraId="0888BD08" w14:textId="60E09755" w:rsidR="00CF3DBC" w:rsidRPr="005629A1" w:rsidRDefault="00CF3DBC" w:rsidP="00CF3DBC">
      <w:pPr>
        <w:rPr>
          <w:rFonts w:ascii="Arial" w:hAnsi="Arial" w:cs="Arial"/>
        </w:rPr>
      </w:pPr>
      <w:r w:rsidRPr="005629A1">
        <w:rPr>
          <w:rFonts w:ascii="Arial" w:hAnsi="Arial" w:cs="Arial"/>
        </w:rPr>
        <w:t xml:space="preserve">We look forward to working with Ofgem on </w:t>
      </w:r>
      <w:r w:rsidR="005629A1" w:rsidRPr="005629A1">
        <w:rPr>
          <w:rFonts w:ascii="Arial" w:hAnsi="Arial" w:cs="Arial"/>
        </w:rPr>
        <w:t xml:space="preserve">the further stages of </w:t>
      </w:r>
      <w:r w:rsidRPr="005629A1">
        <w:rPr>
          <w:rFonts w:ascii="Arial" w:hAnsi="Arial" w:cs="Arial"/>
        </w:rPr>
        <w:t>this review.</w:t>
      </w:r>
    </w:p>
    <w:p w14:paraId="00C88665" w14:textId="57FEC44D" w:rsidR="00CF3DBC" w:rsidRPr="005629A1" w:rsidRDefault="00CF3DBC" w:rsidP="00CF3DBC">
      <w:pPr>
        <w:rPr>
          <w:rFonts w:ascii="Arial" w:hAnsi="Arial" w:cs="Arial"/>
        </w:rPr>
      </w:pPr>
    </w:p>
    <w:p w14:paraId="27D883CB" w14:textId="77777777" w:rsidR="00CF3DBC" w:rsidRPr="005629A1" w:rsidRDefault="00CF3DBC" w:rsidP="00CF3DBC">
      <w:pPr>
        <w:rPr>
          <w:rFonts w:ascii="Arial" w:hAnsi="Arial" w:cs="Arial"/>
        </w:rPr>
      </w:pPr>
    </w:p>
    <w:p w14:paraId="3844D7F1" w14:textId="77777777" w:rsidR="00CF3DBC" w:rsidRPr="005629A1" w:rsidRDefault="00CF3DBC" w:rsidP="00CF3DBC">
      <w:pPr>
        <w:rPr>
          <w:rFonts w:ascii="Arial" w:hAnsi="Arial" w:cs="Arial"/>
        </w:rPr>
      </w:pPr>
    </w:p>
    <w:p w14:paraId="7B506B0B" w14:textId="77777777" w:rsidR="00C622AA" w:rsidRPr="005629A1" w:rsidRDefault="00C622AA">
      <w:pPr>
        <w:rPr>
          <w:rFonts w:ascii="Arial" w:hAnsi="Arial" w:cs="Arial"/>
        </w:rPr>
      </w:pPr>
    </w:p>
    <w:sectPr w:rsidR="00C622AA" w:rsidRPr="005629A1">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E3E1B" w14:textId="77777777" w:rsidR="00AB505F" w:rsidRDefault="00AB505F" w:rsidP="00CF3DBC">
      <w:pPr>
        <w:spacing w:after="0" w:line="240" w:lineRule="auto"/>
      </w:pPr>
      <w:r>
        <w:separator/>
      </w:r>
    </w:p>
  </w:endnote>
  <w:endnote w:type="continuationSeparator" w:id="0">
    <w:p w14:paraId="55E12FAF" w14:textId="77777777" w:rsidR="00AB505F" w:rsidRDefault="00AB505F" w:rsidP="00CF3DBC">
      <w:pPr>
        <w:spacing w:after="0" w:line="240" w:lineRule="auto"/>
      </w:pPr>
      <w:r>
        <w:continuationSeparator/>
      </w:r>
    </w:p>
  </w:endnote>
  <w:endnote w:type="continuationNotice" w:id="1">
    <w:p w14:paraId="687513C6" w14:textId="77777777" w:rsidR="0085119E" w:rsidRDefault="008511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923E9" w14:textId="3BF8E1B7" w:rsidR="00CF3DBC" w:rsidRDefault="007501ED">
    <w:pPr>
      <w:pStyle w:val="Footer"/>
    </w:pPr>
    <w:r>
      <w:rPr>
        <w:noProof/>
        <w14:ligatures w14:val="none"/>
      </w:rPr>
      <mc:AlternateContent>
        <mc:Choice Requires="wps">
          <w:drawing>
            <wp:anchor distT="0" distB="0" distL="0" distR="0" simplePos="0" relativeHeight="251659264" behindDoc="0" locked="0" layoutInCell="1" allowOverlap="1" wp14:anchorId="55F80591" wp14:editId="233E3FDD">
              <wp:simplePos x="635" y="635"/>
              <wp:positionH relativeFrom="page">
                <wp:align>center</wp:align>
              </wp:positionH>
              <wp:positionV relativeFrom="page">
                <wp:align>bottom</wp:align>
              </wp:positionV>
              <wp:extent cx="443865" cy="443865"/>
              <wp:effectExtent l="0" t="0" r="9525" b="0"/>
              <wp:wrapNone/>
              <wp:docPr id="6" name="Text Box 6"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711AF9" w14:textId="3E24C249" w:rsidR="007501ED" w:rsidRPr="007501ED" w:rsidRDefault="007501ED" w:rsidP="007501ED">
                          <w:pPr>
                            <w:spacing w:after="0"/>
                            <w:rPr>
                              <w:rFonts w:ascii="Calibri" w:eastAsia="Calibri" w:hAnsi="Calibri" w:cs="Calibri"/>
                              <w:noProof/>
                              <w:color w:val="000000"/>
                              <w:sz w:val="20"/>
                              <w:szCs w:val="20"/>
                            </w:rPr>
                          </w:pPr>
                          <w:r w:rsidRPr="007501ED">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5F80591" id="_x0000_t202" coordsize="21600,21600" o:spt="202" path="m,l,21600r21600,l21600,xe">
              <v:stroke joinstyle="miter"/>
              <v:path gradientshapeok="t" o:connecttype="rect"/>
            </v:shapetype>
            <v:shape id="Text Box 6" o:spid="_x0000_s1026" type="#_x0000_t202" alt="OFFICIAL-InternalOnly"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70711AF9" w14:textId="3E24C249" w:rsidR="007501ED" w:rsidRPr="007501ED" w:rsidRDefault="007501ED" w:rsidP="007501ED">
                    <w:pPr>
                      <w:spacing w:after="0"/>
                      <w:rPr>
                        <w:rFonts w:ascii="Calibri" w:eastAsia="Calibri" w:hAnsi="Calibri" w:cs="Calibri"/>
                        <w:noProof/>
                        <w:color w:val="000000"/>
                        <w:sz w:val="20"/>
                        <w:szCs w:val="20"/>
                      </w:rPr>
                    </w:pPr>
                    <w:r w:rsidRPr="007501ED">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FF7B8" w14:textId="6E5353AA" w:rsidR="00CF3DBC" w:rsidRDefault="007501ED">
    <w:pPr>
      <w:pStyle w:val="Footer"/>
    </w:pPr>
    <w:r>
      <w:rPr>
        <w:noProof/>
        <w14:ligatures w14:val="none"/>
      </w:rPr>
      <mc:AlternateContent>
        <mc:Choice Requires="wps">
          <w:drawing>
            <wp:anchor distT="0" distB="0" distL="0" distR="0" simplePos="0" relativeHeight="251660288" behindDoc="0" locked="0" layoutInCell="1" allowOverlap="1" wp14:anchorId="0DBDA53C" wp14:editId="4777A591">
              <wp:simplePos x="635" y="635"/>
              <wp:positionH relativeFrom="page">
                <wp:align>center</wp:align>
              </wp:positionH>
              <wp:positionV relativeFrom="page">
                <wp:align>bottom</wp:align>
              </wp:positionV>
              <wp:extent cx="443865" cy="443865"/>
              <wp:effectExtent l="0" t="0" r="9525" b="0"/>
              <wp:wrapNone/>
              <wp:docPr id="7" name="Text Box 7"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C51FCB" w14:textId="2F616BF7" w:rsidR="007501ED" w:rsidRPr="007501ED" w:rsidRDefault="007501ED" w:rsidP="007501ED">
                          <w:pPr>
                            <w:spacing w:after="0"/>
                            <w:rPr>
                              <w:rFonts w:ascii="Calibri" w:eastAsia="Calibri" w:hAnsi="Calibri" w:cs="Calibri"/>
                              <w:noProof/>
                              <w:color w:val="000000"/>
                              <w:sz w:val="20"/>
                              <w:szCs w:val="20"/>
                            </w:rPr>
                          </w:pPr>
                          <w:r w:rsidRPr="007501ED">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DBDA53C" id="_x0000_t202" coordsize="21600,21600" o:spt="202" path="m,l,21600r21600,l21600,xe">
              <v:stroke joinstyle="miter"/>
              <v:path gradientshapeok="t" o:connecttype="rect"/>
            </v:shapetype>
            <v:shape id="Text Box 7" o:spid="_x0000_s1027" type="#_x0000_t202" alt="OFFICIAL-InternalOnly"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12C51FCB" w14:textId="2F616BF7" w:rsidR="007501ED" w:rsidRPr="007501ED" w:rsidRDefault="007501ED" w:rsidP="007501ED">
                    <w:pPr>
                      <w:spacing w:after="0"/>
                      <w:rPr>
                        <w:rFonts w:ascii="Calibri" w:eastAsia="Calibri" w:hAnsi="Calibri" w:cs="Calibri"/>
                        <w:noProof/>
                        <w:color w:val="000000"/>
                        <w:sz w:val="20"/>
                        <w:szCs w:val="20"/>
                      </w:rPr>
                    </w:pPr>
                    <w:r w:rsidRPr="007501ED">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088FF" w14:textId="142B2D1F" w:rsidR="00CF3DBC" w:rsidRDefault="007501ED">
    <w:pPr>
      <w:pStyle w:val="Footer"/>
    </w:pPr>
    <w:r>
      <w:rPr>
        <w:noProof/>
        <w14:ligatures w14:val="none"/>
      </w:rPr>
      <mc:AlternateContent>
        <mc:Choice Requires="wps">
          <w:drawing>
            <wp:anchor distT="0" distB="0" distL="0" distR="0" simplePos="0" relativeHeight="251658240" behindDoc="0" locked="0" layoutInCell="1" allowOverlap="1" wp14:anchorId="576EC9DE" wp14:editId="24298811">
              <wp:simplePos x="635" y="635"/>
              <wp:positionH relativeFrom="page">
                <wp:align>center</wp:align>
              </wp:positionH>
              <wp:positionV relativeFrom="page">
                <wp:align>bottom</wp:align>
              </wp:positionV>
              <wp:extent cx="443865" cy="443865"/>
              <wp:effectExtent l="0" t="0" r="9525" b="0"/>
              <wp:wrapNone/>
              <wp:docPr id="5" name="Text Box 5"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FD4C5C" w14:textId="45673A04" w:rsidR="007501ED" w:rsidRPr="007501ED" w:rsidRDefault="007501ED" w:rsidP="007501ED">
                          <w:pPr>
                            <w:spacing w:after="0"/>
                            <w:rPr>
                              <w:rFonts w:ascii="Calibri" w:eastAsia="Calibri" w:hAnsi="Calibri" w:cs="Calibri"/>
                              <w:noProof/>
                              <w:color w:val="000000"/>
                              <w:sz w:val="20"/>
                              <w:szCs w:val="20"/>
                            </w:rPr>
                          </w:pPr>
                          <w:r w:rsidRPr="007501ED">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76EC9DE" id="_x0000_t202" coordsize="21600,21600" o:spt="202" path="m,l,21600r21600,l21600,xe">
              <v:stroke joinstyle="miter"/>
              <v:path gradientshapeok="t" o:connecttype="rect"/>
            </v:shapetype>
            <v:shape id="Text Box 5" o:spid="_x0000_s1028" type="#_x0000_t202" alt="OFFICIAL-Internal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39FD4C5C" w14:textId="45673A04" w:rsidR="007501ED" w:rsidRPr="007501ED" w:rsidRDefault="007501ED" w:rsidP="007501ED">
                    <w:pPr>
                      <w:spacing w:after="0"/>
                      <w:rPr>
                        <w:rFonts w:ascii="Calibri" w:eastAsia="Calibri" w:hAnsi="Calibri" w:cs="Calibri"/>
                        <w:noProof/>
                        <w:color w:val="000000"/>
                        <w:sz w:val="20"/>
                        <w:szCs w:val="20"/>
                      </w:rPr>
                    </w:pPr>
                    <w:r w:rsidRPr="007501ED">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F19A8" w14:textId="77777777" w:rsidR="00AB505F" w:rsidRDefault="00AB505F" w:rsidP="00CF3DBC">
      <w:pPr>
        <w:spacing w:after="0" w:line="240" w:lineRule="auto"/>
      </w:pPr>
      <w:r>
        <w:separator/>
      </w:r>
    </w:p>
  </w:footnote>
  <w:footnote w:type="continuationSeparator" w:id="0">
    <w:p w14:paraId="1E0060A3" w14:textId="77777777" w:rsidR="00AB505F" w:rsidRDefault="00AB505F" w:rsidP="00CF3DBC">
      <w:pPr>
        <w:spacing w:after="0" w:line="240" w:lineRule="auto"/>
      </w:pPr>
      <w:r>
        <w:continuationSeparator/>
      </w:r>
    </w:p>
  </w:footnote>
  <w:footnote w:type="continuationNotice" w:id="1">
    <w:p w14:paraId="6B88C63F" w14:textId="77777777" w:rsidR="0085119E" w:rsidRDefault="0085119E">
      <w:pPr>
        <w:spacing w:after="0" w:line="240" w:lineRule="auto"/>
      </w:pPr>
    </w:p>
  </w:footnote>
  <w:footnote w:id="2">
    <w:p w14:paraId="40532BCB" w14:textId="77777777" w:rsidR="00CF3DBC" w:rsidRDefault="00CF3DBC" w:rsidP="00CF3DBC">
      <w:pPr>
        <w:pStyle w:val="FootnoteText"/>
      </w:pPr>
      <w:r>
        <w:rPr>
          <w:rStyle w:val="FootnoteReference"/>
        </w:rPr>
        <w:footnoteRef/>
      </w:r>
      <w:r>
        <w:t xml:space="preserve"> </w:t>
      </w:r>
      <w:hyperlink r:id="rId1" w:history="1">
        <w:r>
          <w:rPr>
            <w:rStyle w:val="Hyperlink"/>
          </w:rPr>
          <w:t>IDNO licence stat con - Utility Distribution Networks (UDN) (ofgem.gov.uk)</w:t>
        </w:r>
      </w:hyperlink>
    </w:p>
  </w:footnote>
  <w:footnote w:id="3">
    <w:p w14:paraId="1612C0AB" w14:textId="77777777" w:rsidR="00CF3DBC" w:rsidRDefault="00CF3DBC" w:rsidP="00CF3DBC">
      <w:pPr>
        <w:pStyle w:val="FootnoteText"/>
      </w:pPr>
      <w:r>
        <w:rPr>
          <w:rStyle w:val="FootnoteReference"/>
        </w:rPr>
        <w:footnoteRef/>
      </w:r>
      <w:r>
        <w:t xml:space="preserve"> </w:t>
      </w:r>
      <w:hyperlink r:id="rId2" w:history="1">
        <w:r>
          <w:rPr>
            <w:rStyle w:val="Hyperlink"/>
            <w:color w:val="0000FF"/>
            <w:sz w:val="22"/>
            <w:szCs w:val="22"/>
          </w:rPr>
          <w:t>Building-Back-Faster_22-October-2020.pdf (ina.org.uk)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A2046" w14:textId="77777777" w:rsidR="00253650" w:rsidRDefault="002536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49D54" w14:textId="77777777" w:rsidR="00253650" w:rsidRDefault="002536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EE40A" w14:textId="77777777" w:rsidR="00253650" w:rsidRDefault="00253650">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Mp47h4aU" int2:invalidationBookmarkName="" int2:hashCode="8sDOEMEJ6VWHMs" int2:id="QZ3lC8qS">
      <int2:state int2:value="Rejected" int2:type="AugLoop_Acronyms_AcronymsCritique"/>
    </int2:bookmark>
    <int2:bookmark int2:bookmarkName="_Int_7lX0BYli" int2:invalidationBookmarkName="" int2:hashCode="XE0ctcktHlSzWm" int2:id="zloSTf1R">
      <int2:state int2:value="Rejected" int2:type="AugLoop_Acronyms_AcronymsCritique"/>
    </int2:bookmark>
    <int2:bookmark int2:bookmarkName="_Int_07ohPYmC" int2:invalidationBookmarkName="" int2:hashCode="R7O2kxOXmtZinb" int2:id="Xiom62qu">
      <int2:state int2:value="Rejected" int2:type="AugLoop_Acronyms_AcronymsCritique"/>
    </int2:bookmark>
    <int2:bookmark int2:bookmarkName="_Int_6LCquolI" int2:invalidationBookmarkName="" int2:hashCode="uBFFRqMGuhIbKG" int2:id="GoJkGDf7">
      <int2:state int2:value="Rejected" int2:type="AugLoop_Text_Critique"/>
    </int2:bookmark>
    <int2:bookmark int2:bookmarkName="_Int_cVbGokaY" int2:invalidationBookmarkName="" int2:hashCode="LJnO+aPPzgaK3A" int2:id="XvcLq174">
      <int2:state int2:value="Rejected" int2:type="AugLoop_Text_Critique"/>
    </int2:bookmark>
    <int2:bookmark int2:bookmarkName="_Int_cnsVSRA7" int2:invalidationBookmarkName="" int2:hashCode="d3DQTHv7eR58lZ" int2:id="LVT0cW3s">
      <int2:state int2:value="Rejected" int2:type="AugLoop_Acronyms_AcronymsCritique"/>
    </int2:bookmark>
    <int2:bookmark int2:bookmarkName="_Int_47Uyn19d" int2:invalidationBookmarkName="" int2:hashCode="LxtIZJFVCo9qm1" int2:id="xoHNXpQs">
      <int2:state int2:value="Rejected" int2:type="AugLoop_Text_Critique"/>
    </int2:bookmark>
    <int2:bookmark int2:bookmarkName="_Int_DI7KFdIl" int2:invalidationBookmarkName="" int2:hashCode="jru+5AdJweJBGs" int2:id="lZYiz4a7">
      <int2:state int2:value="Rejected" int2:type="AugLoop_Text_Critique"/>
    </int2:bookmark>
    <int2:bookmark int2:bookmarkName="_Int_PGDq9K6F" int2:invalidationBookmarkName="" int2:hashCode="Fj34sJKNkidRZZ" int2:id="jQCzudzX">
      <int2:state int2:value="Rejected" int2:type="AugLoop_Text_Critique"/>
    </int2:bookmark>
    <int2:bookmark int2:bookmarkName="_Int_UbmgTZbi" int2:invalidationBookmarkName="" int2:hashCode="r0OfcEU5opeLD7" int2:id="AuDKcsrq">
      <int2:state int2:value="Rejected" int2:type="AugLoop_Acronyms_Acronyms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4393A"/>
    <w:multiLevelType w:val="hybridMultilevel"/>
    <w:tmpl w:val="547218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F886BD7"/>
    <w:multiLevelType w:val="hybridMultilevel"/>
    <w:tmpl w:val="C6622D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721220">
    <w:abstractNumId w:val="1"/>
  </w:num>
  <w:num w:numId="2" w16cid:durableId="1597206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DBC"/>
    <w:rsid w:val="00053078"/>
    <w:rsid w:val="00071EFD"/>
    <w:rsid w:val="000D5751"/>
    <w:rsid w:val="001F4063"/>
    <w:rsid w:val="00253650"/>
    <w:rsid w:val="00273420"/>
    <w:rsid w:val="00380FA0"/>
    <w:rsid w:val="00397B20"/>
    <w:rsid w:val="003E25E4"/>
    <w:rsid w:val="004B3A5F"/>
    <w:rsid w:val="005629A1"/>
    <w:rsid w:val="007501ED"/>
    <w:rsid w:val="0085119E"/>
    <w:rsid w:val="00873E42"/>
    <w:rsid w:val="009B5339"/>
    <w:rsid w:val="009E0DA3"/>
    <w:rsid w:val="00AA71D8"/>
    <w:rsid w:val="00AB2426"/>
    <w:rsid w:val="00AB505F"/>
    <w:rsid w:val="00B43D06"/>
    <w:rsid w:val="00C359F3"/>
    <w:rsid w:val="00C622AA"/>
    <w:rsid w:val="00CE71C0"/>
    <w:rsid w:val="00CF3DBC"/>
    <w:rsid w:val="00E63981"/>
    <w:rsid w:val="00EF3BDE"/>
    <w:rsid w:val="00FB55BE"/>
    <w:rsid w:val="00FD36E7"/>
    <w:rsid w:val="0138B3EB"/>
    <w:rsid w:val="03AA73E1"/>
    <w:rsid w:val="0519F5C0"/>
    <w:rsid w:val="09D91480"/>
    <w:rsid w:val="0B209E40"/>
    <w:rsid w:val="124019A7"/>
    <w:rsid w:val="12B295E0"/>
    <w:rsid w:val="12FF61E0"/>
    <w:rsid w:val="15FC1147"/>
    <w:rsid w:val="17D2D303"/>
    <w:rsid w:val="19056E5A"/>
    <w:rsid w:val="1E151705"/>
    <w:rsid w:val="1E220807"/>
    <w:rsid w:val="1E60E404"/>
    <w:rsid w:val="224BBA0B"/>
    <w:rsid w:val="2607008D"/>
    <w:rsid w:val="26825BBF"/>
    <w:rsid w:val="26C752AE"/>
    <w:rsid w:val="270C248C"/>
    <w:rsid w:val="27A2D0EE"/>
    <w:rsid w:val="28996720"/>
    <w:rsid w:val="2E46FD7A"/>
    <w:rsid w:val="2EE44F28"/>
    <w:rsid w:val="2FA1144B"/>
    <w:rsid w:val="312FF45A"/>
    <w:rsid w:val="36789402"/>
    <w:rsid w:val="36A219F3"/>
    <w:rsid w:val="36C287FD"/>
    <w:rsid w:val="39B2FBC1"/>
    <w:rsid w:val="3C399559"/>
    <w:rsid w:val="3DEFE540"/>
    <w:rsid w:val="3E597873"/>
    <w:rsid w:val="3EF7902E"/>
    <w:rsid w:val="45A6FD5E"/>
    <w:rsid w:val="475BF61C"/>
    <w:rsid w:val="48F6E045"/>
    <w:rsid w:val="4E7DE53D"/>
    <w:rsid w:val="4F5AF72E"/>
    <w:rsid w:val="52547801"/>
    <w:rsid w:val="52BE0B34"/>
    <w:rsid w:val="533B0CF8"/>
    <w:rsid w:val="5A326541"/>
    <w:rsid w:val="5BDAD735"/>
    <w:rsid w:val="5C50D03D"/>
    <w:rsid w:val="5D20259F"/>
    <w:rsid w:val="5DD02093"/>
    <w:rsid w:val="5FCAAE01"/>
    <w:rsid w:val="61F396C2"/>
    <w:rsid w:val="6233347F"/>
    <w:rsid w:val="625DC5D2"/>
    <w:rsid w:val="62A391B6"/>
    <w:rsid w:val="65D6E5A3"/>
    <w:rsid w:val="66A85DA9"/>
    <w:rsid w:val="67229DF5"/>
    <w:rsid w:val="6A89681E"/>
    <w:rsid w:val="6AD9433D"/>
    <w:rsid w:val="6DA3DDCA"/>
    <w:rsid w:val="6DFF2D61"/>
    <w:rsid w:val="6E2FE1F6"/>
    <w:rsid w:val="6E3EC344"/>
    <w:rsid w:val="72E21F67"/>
    <w:rsid w:val="731A8694"/>
    <w:rsid w:val="76C794EF"/>
    <w:rsid w:val="77E99CD4"/>
    <w:rsid w:val="7867C139"/>
    <w:rsid w:val="7A22C62B"/>
    <w:rsid w:val="7C860D64"/>
    <w:rsid w:val="7E089B0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928E43"/>
  <w15:chartTrackingRefBased/>
  <w15:docId w15:val="{B88544E0-FC4A-48AC-B2F9-88295D7EB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3DBC"/>
    <w:pPr>
      <w:spacing w:after="160" w:line="256" w:lineRule="auto"/>
    </w:pPr>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F3DBC"/>
    <w:rPr>
      <w:color w:val="0000FF" w:themeColor="hyperlink"/>
      <w:u w:val="single"/>
    </w:rPr>
  </w:style>
  <w:style w:type="paragraph" w:styleId="FootnoteText">
    <w:name w:val="footnote text"/>
    <w:basedOn w:val="Normal"/>
    <w:link w:val="FootnoteTextChar"/>
    <w:uiPriority w:val="99"/>
    <w:semiHidden/>
    <w:unhideWhenUsed/>
    <w:rsid w:val="00CF3D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F3DBC"/>
    <w:rPr>
      <w:kern w:val="2"/>
      <w:sz w:val="20"/>
      <w:szCs w:val="20"/>
      <w14:ligatures w14:val="standardContextual"/>
    </w:rPr>
  </w:style>
  <w:style w:type="paragraph" w:customStyle="1" w:styleId="xmsonormal">
    <w:name w:val="x_msonormal"/>
    <w:basedOn w:val="Normal"/>
    <w:rsid w:val="00CF3DBC"/>
    <w:pPr>
      <w:spacing w:before="100" w:beforeAutospacing="1" w:after="100" w:afterAutospacing="1" w:line="240" w:lineRule="auto"/>
    </w:pPr>
    <w:rPr>
      <w:rFonts w:ascii="Times New Roman" w:eastAsia="Times New Roman" w:hAnsi="Times New Roman" w:cs="Times New Roman"/>
      <w:kern w:val="0"/>
      <w:sz w:val="24"/>
      <w:szCs w:val="24"/>
      <w:lang w:eastAsia="en-GB"/>
    </w:rPr>
  </w:style>
  <w:style w:type="paragraph" w:customStyle="1" w:styleId="xmsolistparagraph">
    <w:name w:val="x_msolistparagraph"/>
    <w:basedOn w:val="Normal"/>
    <w:rsid w:val="00CF3DBC"/>
    <w:pPr>
      <w:spacing w:before="100" w:beforeAutospacing="1" w:after="100" w:afterAutospacing="1" w:line="240" w:lineRule="auto"/>
    </w:pPr>
    <w:rPr>
      <w:rFonts w:ascii="Times New Roman" w:eastAsia="Times New Roman" w:hAnsi="Times New Roman" w:cs="Times New Roman"/>
      <w:kern w:val="0"/>
      <w:sz w:val="24"/>
      <w:szCs w:val="24"/>
      <w:lang w:eastAsia="en-GB"/>
    </w:rPr>
  </w:style>
  <w:style w:type="character" w:styleId="FootnoteReference">
    <w:name w:val="footnote reference"/>
    <w:basedOn w:val="DefaultParagraphFont"/>
    <w:uiPriority w:val="99"/>
    <w:semiHidden/>
    <w:unhideWhenUsed/>
    <w:rsid w:val="00CF3DBC"/>
    <w:rPr>
      <w:vertAlign w:val="superscript"/>
    </w:rPr>
  </w:style>
  <w:style w:type="paragraph" w:styleId="ListParagraph">
    <w:name w:val="List Paragraph"/>
    <w:basedOn w:val="Normal"/>
    <w:uiPriority w:val="34"/>
    <w:qFormat/>
    <w:rsid w:val="00CF3DBC"/>
    <w:pPr>
      <w:ind w:left="720"/>
      <w:contextualSpacing/>
    </w:pPr>
  </w:style>
  <w:style w:type="paragraph" w:styleId="Footer">
    <w:name w:val="footer"/>
    <w:basedOn w:val="Normal"/>
    <w:link w:val="FooterChar"/>
    <w:uiPriority w:val="99"/>
    <w:unhideWhenUsed/>
    <w:rsid w:val="00CF3D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3DBC"/>
    <w:rPr>
      <w:kern w:val="2"/>
      <w14:ligatures w14:val="standardContextual"/>
    </w:rPr>
  </w:style>
  <w:style w:type="character" w:styleId="CommentReference">
    <w:name w:val="annotation reference"/>
    <w:basedOn w:val="DefaultParagraphFont"/>
    <w:uiPriority w:val="99"/>
    <w:semiHidden/>
    <w:unhideWhenUsed/>
    <w:rsid w:val="00380FA0"/>
    <w:rPr>
      <w:sz w:val="16"/>
      <w:szCs w:val="16"/>
    </w:rPr>
  </w:style>
  <w:style w:type="paragraph" w:styleId="CommentText">
    <w:name w:val="annotation text"/>
    <w:basedOn w:val="Normal"/>
    <w:link w:val="CommentTextChar"/>
    <w:uiPriority w:val="99"/>
    <w:unhideWhenUsed/>
    <w:rsid w:val="00380FA0"/>
    <w:pPr>
      <w:spacing w:line="240" w:lineRule="auto"/>
    </w:pPr>
    <w:rPr>
      <w:sz w:val="20"/>
      <w:szCs w:val="20"/>
    </w:rPr>
  </w:style>
  <w:style w:type="character" w:customStyle="1" w:styleId="CommentTextChar">
    <w:name w:val="Comment Text Char"/>
    <w:basedOn w:val="DefaultParagraphFont"/>
    <w:link w:val="CommentText"/>
    <w:uiPriority w:val="99"/>
    <w:rsid w:val="00380FA0"/>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380FA0"/>
    <w:rPr>
      <w:b/>
      <w:bCs/>
    </w:rPr>
  </w:style>
  <w:style w:type="character" w:customStyle="1" w:styleId="CommentSubjectChar">
    <w:name w:val="Comment Subject Char"/>
    <w:basedOn w:val="CommentTextChar"/>
    <w:link w:val="CommentSubject"/>
    <w:uiPriority w:val="99"/>
    <w:semiHidden/>
    <w:rsid w:val="00380FA0"/>
    <w:rPr>
      <w:b/>
      <w:bCs/>
      <w:kern w:val="2"/>
      <w:sz w:val="20"/>
      <w:szCs w:val="20"/>
      <w14:ligatures w14:val="standardContextual"/>
    </w:rPr>
  </w:style>
  <w:style w:type="paragraph" w:styleId="Header">
    <w:name w:val="header"/>
    <w:basedOn w:val="Normal"/>
    <w:link w:val="HeaderChar"/>
    <w:uiPriority w:val="99"/>
    <w:unhideWhenUsed/>
    <w:rsid w:val="008511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19E"/>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310516">
      <w:bodyDiv w:val="1"/>
      <w:marLeft w:val="0"/>
      <w:marRight w:val="0"/>
      <w:marTop w:val="0"/>
      <w:marBottom w:val="0"/>
      <w:divBdr>
        <w:top w:val="none" w:sz="0" w:space="0" w:color="auto"/>
        <w:left w:val="none" w:sz="0" w:space="0" w:color="auto"/>
        <w:bottom w:val="none" w:sz="0" w:space="0" w:color="auto"/>
        <w:right w:val="none" w:sz="0" w:space="0" w:color="auto"/>
      </w:divBdr>
    </w:div>
    <w:div w:id="129899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ina.org.uk/wp-content/uploads/2020/10/Building-Back-Faster_22-October-2020.pdf" TargetMode="External"/><Relationship Id="rId1" Type="http://schemas.openxmlformats.org/officeDocument/2006/relationships/hyperlink" Target="https://www.ofgem.gov.uk/sites/default/files/2023-03/Amended%20Standard%20Conditions%20%28iDNO%29%20-%20Curr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Select_x0020_Content_x0020_Type_x0020_Above xmlns="0ce99671-f09b-4148-8a46-ffda6f023446" xsi:nil="true"/>
    <Classification xmlns="0ce99671-f09b-4148-8a46-ffda6f023446">Unclassified</Classification>
    <_ip_UnifiedCompliancePolicyProperties xmlns="http://schemas.microsoft.com/sharepoint/v3" xsi:nil="true"/>
    <lcf76f155ced4ddcb4097134ff3c332f xmlns="3d7243bd-83c0-45a5-9ac8-949a2d56d9b0">
      <Terms xmlns="http://schemas.microsoft.com/office/infopath/2007/PartnerControls"/>
    </lcf76f155ced4ddcb4097134ff3c332f>
    <TaxCatchAll xmlns="0ce99671-f09b-4148-8a46-ffda6f023446" xsi:nil="true"/>
    <Descriptor xmlns="0ce99671-f09b-4148-8a46-ffda6f0234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elect Content Type" ma:contentTypeID="0x010100B5812C89CE50F8418DB7A0874EE033B5005C4AF5DC1DFD85439201E65FBC5229B4" ma:contentTypeVersion="24" ma:contentTypeDescription="Select Content Type from drop-down above" ma:contentTypeScope="" ma:versionID="17a8d3075f71aa5577c15512b3b4a9c6">
  <xsd:schema xmlns:xsd="http://www.w3.org/2001/XMLSchema" xmlns:xs="http://www.w3.org/2001/XMLSchema" xmlns:p="http://schemas.microsoft.com/office/2006/metadata/properties" xmlns:ns1="http://schemas.microsoft.com/sharepoint/v3" xmlns:ns2="0ce99671-f09b-4148-8a46-ffda6f023446" xmlns:ns3="3d7243bd-83c0-45a5-9ac8-949a2d56d9b0" targetNamespace="http://schemas.microsoft.com/office/2006/metadata/properties" ma:root="true" ma:fieldsID="e537efb5d520995989494ec187f11269" ns1:_="" ns2:_="" ns3:_="">
    <xsd:import namespace="http://schemas.microsoft.com/sharepoint/v3"/>
    <xsd:import namespace="0ce99671-f09b-4148-8a46-ffda6f023446"/>
    <xsd:import namespace="3d7243bd-83c0-45a5-9ac8-949a2d56d9b0"/>
    <xsd:element name="properties">
      <xsd:complexType>
        <xsd:sequence>
          <xsd:element name="documentManagement">
            <xsd:complexType>
              <xsd:all>
                <xsd:element ref="ns2:Select_x0020_Content_x0020_Type_x0020_Above" minOccurs="0"/>
                <xsd:element ref="ns2:Classification" minOccurs="0"/>
                <xsd:element ref="ns2:Descriptor" minOccurs="0"/>
                <xsd:element ref="ns3:MediaServiceMetadata" minOccurs="0"/>
                <xsd:element ref="ns3:MediaServiceFastMetadata" minOccurs="0"/>
                <xsd:element ref="ns3:MediaServiceDateTaken" minOccurs="0"/>
                <xsd:element ref="ns3:MediaLengthInSeconds" minOccurs="0"/>
                <xsd:element ref="ns1:_ip_UnifiedCompliancePolicyProperties" minOccurs="0"/>
                <xsd:element ref="ns1:_ip_UnifiedCompliancePolicyUIAction"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99671-f09b-4148-8a46-ffda6f023446"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TaxCatchAll" ma:index="19" nillable="true" ma:displayName="Taxonomy Catch All Column" ma:hidden="true" ma:list="{b76f98a0-e8e0-404e-bf0c-f6677a0583a3}" ma:internalName="TaxCatchAll" ma:showField="CatchAllData" ma:web="0ce99671-f09b-4148-8a46-ffda6f023446">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243bd-83c0-45a5-9ac8-949a2d56d9b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Location" ma:index="25"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9F38A6DD-5F45-4AB5-9DA6-A8E1B345AFC8}">
  <ds:schemaRefs>
    <ds:schemaRef ds:uri="http://schemas.microsoft.com/office/2006/metadata/properties"/>
    <ds:schemaRef ds:uri="http://schemas.microsoft.com/sharepoint/v3"/>
    <ds:schemaRef ds:uri="http://purl.org/dc/terms/"/>
    <ds:schemaRef ds:uri="http://purl.org/dc/elements/1.1/"/>
    <ds:schemaRef ds:uri="3d7243bd-83c0-45a5-9ac8-949a2d56d9b0"/>
    <ds:schemaRef ds:uri="http://schemas.microsoft.com/office/infopath/2007/PartnerControls"/>
    <ds:schemaRef ds:uri="http://schemas.microsoft.com/office/2006/documentManagement/types"/>
    <ds:schemaRef ds:uri="http://schemas.openxmlformats.org/package/2006/metadata/core-properties"/>
    <ds:schemaRef ds:uri="0ce99671-f09b-4148-8a46-ffda6f023446"/>
    <ds:schemaRef ds:uri="http://www.w3.org/XML/1998/namespace"/>
    <ds:schemaRef ds:uri="http://purl.org/dc/dcmitype/"/>
  </ds:schemaRefs>
</ds:datastoreItem>
</file>

<file path=customXml/itemProps2.xml><?xml version="1.0" encoding="utf-8"?>
<ds:datastoreItem xmlns:ds="http://schemas.openxmlformats.org/officeDocument/2006/customXml" ds:itemID="{33DA89B6-634D-475A-8C1C-ECEBC29026A7}">
  <ds:schemaRefs>
    <ds:schemaRef ds:uri="http://schemas.microsoft.com/sharepoint/v3/contenttype/forms"/>
  </ds:schemaRefs>
</ds:datastoreItem>
</file>

<file path=customXml/itemProps3.xml><?xml version="1.0" encoding="utf-8"?>
<ds:datastoreItem xmlns:ds="http://schemas.openxmlformats.org/officeDocument/2006/customXml" ds:itemID="{9946EE9A-961E-48AD-BD48-2215832440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ce99671-f09b-4148-8a46-ffda6f023446"/>
    <ds:schemaRef ds:uri="3d7243bd-83c0-45a5-9ac8-949a2d56d9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4CD676-FBF1-4FB2-A6B0-5D8B441E8D5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1149</Words>
  <Characters>6550</Characters>
  <Application>Microsoft Office Word</Application>
  <DocSecurity>0</DocSecurity>
  <Lines>54</Lines>
  <Paragraphs>15</Paragraphs>
  <ScaleCrop>false</ScaleCrop>
  <Company/>
  <LinksUpToDate>false</LinksUpToDate>
  <CharactersWithSpaces>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Haines Gareth (DN-UD)</dc:creator>
  <cp:keywords/>
  <dc:description/>
  <cp:lastModifiedBy>Tim Aldridge</cp:lastModifiedBy>
  <cp:revision>2</cp:revision>
  <dcterms:created xsi:type="dcterms:W3CDTF">2024-03-19T20:14:00Z</dcterms:created>
  <dcterms:modified xsi:type="dcterms:W3CDTF">2024-03-19T20:14:00Z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431d30e-c018-4f72-ad4c-e56e9d03b1f0_Enabled">
    <vt:lpwstr>true</vt:lpwstr>
  </property>
  <property fmtid="{D5CDD505-2E9C-101B-9397-08002B2CF9AE}" pid="3" name="MSIP_Label_6431d30e-c018-4f72-ad4c-e56e9d03b1f0_SetDate">
    <vt:lpwstr>2023-11-27T19:31:14Z</vt:lpwstr>
  </property>
  <property fmtid="{D5CDD505-2E9C-101B-9397-08002B2CF9AE}" pid="4" name="MSIP_Label_6431d30e-c018-4f72-ad4c-e56e9d03b1f0_Method">
    <vt:lpwstr>Standard</vt:lpwstr>
  </property>
  <property fmtid="{D5CDD505-2E9C-101B-9397-08002B2CF9AE}" pid="5" name="MSIP_Label_6431d30e-c018-4f72-ad4c-e56e9d03b1f0_Name">
    <vt:lpwstr>6431d30e-c018-4f72-ad4c-e56e9d03b1f0</vt:lpwstr>
  </property>
  <property fmtid="{D5CDD505-2E9C-101B-9397-08002B2CF9AE}" pid="6" name="MSIP_Label_6431d30e-c018-4f72-ad4c-e56e9d03b1f0_SiteId">
    <vt:lpwstr>f8be18a6-f648-4a47-be73-86d6c5c6604d</vt:lpwstr>
  </property>
  <property fmtid="{D5CDD505-2E9C-101B-9397-08002B2CF9AE}" pid="7" name="MSIP_Label_6431d30e-c018-4f72-ad4c-e56e9d03b1f0_ActionId">
    <vt:lpwstr>616c4ab2-1e27-4809-9c52-d656c1142e14</vt:lpwstr>
  </property>
  <property fmtid="{D5CDD505-2E9C-101B-9397-08002B2CF9AE}" pid="8" name="MSIP_Label_6431d30e-c018-4f72-ad4c-e56e9d03b1f0_ContentBits">
    <vt:lpwstr>2</vt:lpwstr>
  </property>
  <property fmtid="{D5CDD505-2E9C-101B-9397-08002B2CF9AE}" pid="9" name="ContentTypeId">
    <vt:lpwstr>0x010100B5812C89CE50F8418DB7A0874EE033B5005C4AF5DC1DFD85439201E65FBC5229B4</vt:lpwstr>
  </property>
  <property fmtid="{D5CDD505-2E9C-101B-9397-08002B2CF9AE}" pid="10" name="ClassificationContentMarkingFooterShapeIds">
    <vt:lpwstr>5,6,7</vt:lpwstr>
  </property>
  <property fmtid="{D5CDD505-2E9C-101B-9397-08002B2CF9AE}" pid="11" name="ClassificationContentMarkingFooterFontProps">
    <vt:lpwstr>#000000,10,Calibri</vt:lpwstr>
  </property>
  <property fmtid="{D5CDD505-2E9C-101B-9397-08002B2CF9AE}" pid="12" name="ClassificationContentMarkingFooterText">
    <vt:lpwstr>OFFICIAL-InternalOnly</vt:lpwstr>
  </property>
  <property fmtid="{D5CDD505-2E9C-101B-9397-08002B2CF9AE}" pid="13" name="MSIP_Label_38144ccb-b10a-4c0f-b070-7a3b00ac7463_Enabled">
    <vt:lpwstr>true</vt:lpwstr>
  </property>
  <property fmtid="{D5CDD505-2E9C-101B-9397-08002B2CF9AE}" pid="14" name="MSIP_Label_38144ccb-b10a-4c0f-b070-7a3b00ac7463_SetDate">
    <vt:lpwstr>2023-12-12T11:52:13Z</vt:lpwstr>
  </property>
  <property fmtid="{D5CDD505-2E9C-101B-9397-08002B2CF9AE}" pid="15" name="MSIP_Label_38144ccb-b10a-4c0f-b070-7a3b00ac7463_Method">
    <vt:lpwstr>Standard</vt:lpwstr>
  </property>
  <property fmtid="{D5CDD505-2E9C-101B-9397-08002B2CF9AE}" pid="16" name="MSIP_Label_38144ccb-b10a-4c0f-b070-7a3b00ac7463_Name">
    <vt:lpwstr>InternalOnly</vt:lpwstr>
  </property>
  <property fmtid="{D5CDD505-2E9C-101B-9397-08002B2CF9AE}" pid="17" name="MSIP_Label_38144ccb-b10a-4c0f-b070-7a3b00ac7463_SiteId">
    <vt:lpwstr>185562ad-39bc-4840-8e40-be6216340c52</vt:lpwstr>
  </property>
  <property fmtid="{D5CDD505-2E9C-101B-9397-08002B2CF9AE}" pid="18" name="MSIP_Label_38144ccb-b10a-4c0f-b070-7a3b00ac7463_ActionId">
    <vt:lpwstr>a08cf63b-50c0-41f9-b065-902a80dec14e</vt:lpwstr>
  </property>
  <property fmtid="{D5CDD505-2E9C-101B-9397-08002B2CF9AE}" pid="19" name="MSIP_Label_38144ccb-b10a-4c0f-b070-7a3b00ac7463_ContentBits">
    <vt:lpwstr>2</vt:lpwstr>
  </property>
  <property fmtid="{D5CDD505-2E9C-101B-9397-08002B2CF9AE}" pid="20" name="MediaServiceImageTags">
    <vt:lpwstr/>
  </property>
  <property fmtid="{D5CDD505-2E9C-101B-9397-08002B2CF9AE}" pid="21" name="docIndexRef">
    <vt:lpwstr>5fb7fc85-37a2-4eb4-ade7-0e2899195276</vt:lpwstr>
  </property>
  <property fmtid="{D5CDD505-2E9C-101B-9397-08002B2CF9AE}" pid="22" name="bjSaver">
    <vt:lpwstr>TVo/Hsn6gJtZJc254ngPP/4dQ/fNHcFB</vt:lpwstr>
  </property>
  <property fmtid="{D5CDD505-2E9C-101B-9397-08002B2CF9AE}" pid="23" name="bjDocumentSecurityLabel">
    <vt:lpwstr>This item has no classification</vt:lpwstr>
  </property>
  <property fmtid="{D5CDD505-2E9C-101B-9397-08002B2CF9AE}" pid="24" name="bjClsUserRVM">
    <vt:lpwstr>[]</vt:lpwstr>
  </property>
</Properties>
</file>